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BbgBQFG (Brandenburg) — Rechtsweg</w:t>
      </w:r>
    </w:p>
    <w:p>
      <w:r>
        <w:rPr>
          <w:color w:val="555555"/>
          <w:sz w:val="18"/>
        </w:rPr>
        <w:t xml:space="preserve">Brandenburgisches Berufsqualifikationsfeststellungsgesetz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Streitigkeiten nach diesem Gesetz ist der Verwaltungsrechtsweg gegeben.</w:t>
      </w:r>
    </w:p>
    <w:p>
      <w:r>
        <w:rPr>
          <w:color w:val="555555"/>
          <w:sz w:val="17"/>
        </w:rPr>
        <w:t xml:space="preserve">Zitiervorschlag: § 16 BbgBQFG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https://recht.nulegal.eu/gesetze/BbgBQFG/16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