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BbgBQFG (Brandenburg) — Zweck des Gesetzes</w:t>
      </w:r>
    </w:p>
    <w:p>
      <w:r>
        <w:rPr>
          <w:color w:val="555555"/>
          <w:sz w:val="18"/>
        </w:rPr>
        <w:t xml:space="preserve">Brandenburgisches Berufsqualifikationsfeststellungsgesetz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Dieses Gesetz dient der besseren Nutzung von im Ausland erworbenen Berufsqualifikationen für den deutschen Arbeitsmarkt, um eine qualifikationsnahe Beschäftigung zu ermöglichen.</w:t>
      </w:r>
    </w:p>
    <w:p>
      <w:r>
        <w:rPr>
          <w:color w:val="555555"/>
          <w:sz w:val="17"/>
        </w:rPr>
        <w:t xml:space="preserve">Zitiervorschlag: § 1 BbgBQFG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https://recht.nulegal.eu/gesetze/BbgBQFG/1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