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BbgBO (Brandenburg) — Übergangsvorschriften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§ 73 Absatz 1 und 2 ist auf alle Baugenehmigungen und Vorbescheide anwendbar, deren Geltungsdauer bei Inkrafttreten dieses Gesetzes noch nicht abgelaufen war.</w:t>
      </w:r>
    </w:p>
    <w:p>
      <w:r>
        <w:t xml:space="preserve">(2) Solange § 20 Absatz 1 der Baunutzungsverordnung zur Begriffsbestimmung des Vollgeschosses auf Landesrecht verweist, gilt insoweit § 2 Absatz 4 der Brandenburgischen Bauordnung in der Fassung der Bekanntmachung vom 17. September 2008 (GVBl. I S. 226) fort. Auf Satzungen nach dem Baugesetzbuch, die bis zum Inkrafttreten dieses Gesetzes Rechtswirksamkeit erlangt haben, ist der zum Zeitpunkt des jeweiligen Satzungsbeschlusses geltende Begriff des Vollgeschosses weiter anzuwenden.</w:t>
      </w:r>
    </w:p>
    <w:p>
      <w:r>
        <w:t xml:space="preserve">(3) Die bisher erfolgten Eintragungen der Brandenburgischen Ingenieurkammer in die Liste der Bauvorlageberechtigten behalten ihre Gültigkeit, soweit sie nicht durch Eintragungen in die Liste mit dem Zusatz Bauvorlageberechtigung nach § 65 Absatz 2 Nummer 2 ersetzt wurden.</w:t>
      </w:r>
    </w:p>
    <w:p>
      <w:r>
        <w:t xml:space="preserve">(4) Die vor dem Inkrafttreten dieses Gesetzes eingeleiteten Verfahren sind nach den bis zum Inkrafttreten geltenden Vorschriften fortzuführen; die materiellen Vorschriften dieses Gesetzes sind jedoch anzuwenden, soweit diese für die Bauherrin oder den Bauherrn günstiger sind.</w:t>
      </w:r>
    </w:p>
    <w:p>
      <w:r>
        <w:t xml:space="preserve">(5) Für Bauprodukte, die weiterhin nach der Verordnung (EU) Nr. 305/2011 des Europäischen Parlaments und des Rates vom 9. März 2011 zur Festlegung harmonisierter Bedingungen für die Vermarktung von Bauprodukten und zur Aufhebung der Richtlinie 89/106/EWG des Rates (ABl. L 88 vom 4.4.2011, S. 5, L 103 vom 12.4.2013, S. 10, L 92 vom 27.5.2014, S. 118), die zuletzt durch Verordnung (EU) 2024/3110 (ABl. L 3110 vom 18.12.2024) geändert worden ist, auf dem Markt bereitgestellt werden, sind die Regelungen der Brandenburgischen Bauordnung in der Fassung der Bekanntmachung vom 15. November 2018 (GVBl. I Nr. 39), die zuletzt durch das Gesetz vom 28. September 2023 (GVBl. I Nr. 18) geändert worden ist, anzuwenden, soweit diese auf die Verordnung (EU) Nr. 305/2011 verweisen.</w:t>
      </w:r>
    </w:p>
    <w:p>
      <w:r>
        <w:t xml:space="preserve">(6) Abweichend von § 68 Absatz 1 Satz 2 sind Bauanträge bis zum 30. September 2026 in Schriftform einzureichen, wenn die Bauaufsichtsbehörde den elektronischen Zugang noch nicht eröffnet hat.</w:t>
      </w:r>
    </w:p>
    <w:p>
      <w:r>
        <w:t xml:space="preserve">(7) Bis zum Ablauf des 15. Oktober 2018 für Bauarten erteilte Zustimmungen im Einzelfall gelten als Bauartgenehmigung fort.</w:t>
      </w:r>
    </w:p>
    <w:p>
      <w:r>
        <w:t xml:space="preserve">(8) Die bis zum Ablauf des 15. Oktober 2018 erteilten Anerkennungen als Prüf-, Überwachungs- und Zertifizierungsstellen bleiben wirksam. Für Anträge auf Anerkennung von Prüf-, Überwachungs- und Zertifizierungsstellen, die bis zum Ablauf des 15. Oktober 2018 gestellt worden sind, gilt dieses Gesetz in der ab dem 16. Oktober 2018 geltenden Fassung.</w:t>
      </w:r>
    </w:p>
    <w:p>
      <w:r>
        <w:t xml:space="preserve">(9) Die in der Anlage bestimmten Ausbildungsanforderungen finden keine Anwendung auf Personen, die ihr Studium bis zum 31. Dezember 2023 begonnen haben. Für diese Personen gelten die Ausbildungsanforderungen des § 65 gemäß der ab dem 16. Oktober 2018 geltenden Fassung dieses Gesetzes.</w:t>
      </w:r>
    </w:p>
    <w:p>
      <w:r>
        <w:rPr>
          <w:color w:val="555555"/>
          <w:sz w:val="17"/>
        </w:rPr>
        <w:t xml:space="preserve">Zitiervorschlag: § 88 BbgBO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https://recht.nulegal.eu/gesetze/BbgBO/88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