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BbgBO (Brandenburg) — Örtliche Bauvorschriften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kann örtliche Bauvorschriften erlassen über</w:t>
      </w:r>
    </w:p>
    <w:p>
      <w:r>
        <w:t xml:space="preserve">besondere Anforderungen an die äußere Gestaltung baulicher Anlagen und anderer Anlagen und Einrichtungen sowie die Notwendigkeit oder das Verbot von Einfriedungen und das Verbot von Schottergärten,</w:t>
      </w:r>
    </w:p>
    <w:p>
      <w:r>
        <w:t xml:space="preserve">besondere Anforderungen an die Art, die Größe, die Gestaltung, die Farbe und den Anbringungsort von Werbeanlagen,</w:t>
      </w:r>
    </w:p>
    <w:p>
      <w:r>
        <w:t xml:space="preserve">den Ausschluss von Werbeanlagen an bestimmten baulichen Anlagen,</w:t>
      </w:r>
    </w:p>
    <w:p>
      <w:r>
        <w:t xml:space="preserve">eine besondere Erlaubnispflicht für Werbeanlagen, die ohne Baugenehmigung errichtet werden dürfen, soweit für diese Werbeanlagen besondere Anforderungen nach Nummer 2 bestehen,</w:t>
      </w:r>
    </w:p>
    <w:p>
      <w:r>
        <w:t xml:space="preserve">die Begrünung baulicher Anlagen.</w:t>
      </w:r>
    </w:p>
    <w:p>
      <w:r>
        <w:t xml:space="preserve">Die Gemeinde kann die örtlichen Bauvorschriften nach Satz 1 Nummer 1 und 2 erlassen, soweit dies zur Verwirklichung baugestalterischer und städtebaulicher Absichten oder zum Schutz bestimmter Bauten, Straßen, Plätze oder Ortsteile von geschichtlicher, künstlerischer oder städtebaulicher Bedeutung sowie von Baudenkmälern und Naturdenkmälern erforderlich ist.</w:t>
      </w:r>
    </w:p>
    <w:p>
      <w:r>
        <w:t xml:space="preserve">(2) Die Gemeinde kann durch örtliche Bauvorschriften andere als die nach § 6 Absatz 5 vorgeschriebenen Abstandsflächen festsetzen. Die Festsetzungen über die überbaubaren Grundstücksflächen und die Höhe der baulichen Anlagen müssen so bestimmt sein, dass die nach § 6 zu berücksichtigenden nachbarlichen Belange abgewogen werden können. Eine geringere Tiefe der Abstandsflächen darf insbesondere zur Wahrung der erhaltenswerten Eigenart und zur städtebaulichen Gestaltung eines bestimmten Ortsteiles festgesetzt werden.</w:t>
      </w:r>
    </w:p>
    <w:p>
      <w:r>
        <w:t xml:space="preserve">(3) Die Gemeinde kann örtliche Bauvorschriften über Kinderspielplätze erlassen. Sie kann dabei</w:t>
      </w:r>
    </w:p>
    <w:p>
      <w:r>
        <w:t xml:space="preserve">die Größe, Art und Ausstattung der Kinderspielplätze nach Art und Maß der Nutzung festsetzen,</w:t>
      </w:r>
    </w:p>
    <w:p>
      <w:r>
        <w:t xml:space="preserve">die Anforderungen für den Zugang und die sichere Benutzbarkeit der Kinderspielplätze festsetzen,</w:t>
      </w:r>
    </w:p>
    <w:p>
      <w:r>
        <w:t xml:space="preserve">die nachträgliche Anlage eines Kinderspielplatzes festsetzen, wenn dies die Gesundheit und der Schutz der Kinder erfordern</w:t>
      </w:r>
    </w:p>
    <w:p>
      <w:r>
        <w:t xml:space="preserve">die Geldbeträge für die Ablösung der Kinderspielplätze bestimmen.</w:t>
      </w:r>
    </w:p>
    <w:p>
      <w:r>
        <w:t xml:space="preserve">(4) Die Gemeinde kann örtliche Bauvorschriften über notwendige Stellplätze erlassen. Sie kann dabei</w:t>
      </w:r>
    </w:p>
    <w:p>
      <w:r>
        <w:t xml:space="preserve">die Zahl der erforderlichen notwendigen Stellplätze nach Art und Maß der Nutzung unter Berücksichtigung der verkehrlichen, wirtschaftspolitischen oder städtebaulichen Gründe unterschiedlich festsetzen und insoweit besondere Maßnahmen, wie Mobilitätskonzepte und Maßnahmen des Mobilitätsmanagements, die die Pflicht zur Herstellung der notwendigen Stellplätze verringern, bestimmen,</w:t>
      </w:r>
    </w:p>
    <w:p>
      <w:r>
        <w:t xml:space="preserve">die Herstellung von Stellplätzen und Garagen für Kraftfahrzeuge untersagen oder einschränken, wenn verkehrliche, wirtschaftspolitische oder städtebauliche Gründe dies rechtfertigen; insbesondere bei guter Erschließung durch Einrichtungen des öffentlichen Personennahverkehrs,</w:t>
      </w:r>
    </w:p>
    <w:p>
      <w:r>
        <w:t xml:space="preserve">die Geldbeträge für die Ablösung notwendiger Stellplätze bestimmen, wobei der Geldbetrag 60 von Hundert der durchschnittlichen Herstellungskosten von Parkeinrichtungen einschließlich der Kosten des Grunderwerbs im Gemeindegebiet oder in bestimmten Teilen des Gemeindegebietes nicht übersteigen darf .</w:t>
      </w:r>
    </w:p>
    <w:p>
      <w:r>
        <w:t xml:space="preserve">Bei der Errichtung von Gebäuden darf für jede Wohnung maximal ein notwendiger Stellplatz gefordert werden. Bis zu einem Fünftel der notwendigen Stellplätze können durch Abstellplätze für Fahrräder ersetzt werden. Dabei sind für einen notwendigen Stellplatz vier Abstellplätze für Fahrräder herzustellen; diese werden zur Hälfte auf die Verpflichtung nach Absatz 5 angerechnet. Die Ermächtigung der Sätze 1 und 2 erstreckt sich nicht auf notwendige Stellplätze, die nach § 50 Absatz 6 erforderlich sind. § 51a Absatz 5 bleibt unberührt.</w:t>
      </w:r>
    </w:p>
    <w:p>
      <w:r>
        <w:t xml:space="preserve">(5) Die Gemeinde kann örtliche Bauvorschriften über notwendige Abstellplätze für Fahrräder erlassen. Sie kann dabei</w:t>
      </w:r>
    </w:p>
    <w:p>
      <w:r>
        <w:t xml:space="preserve">die Zahl der erforderlichen Fahrradabstellplätze nach Art und Maß der Nutzung festsetzen,</w:t>
      </w:r>
    </w:p>
    <w:p>
      <w:r>
        <w:t xml:space="preserve">die Größe, die Lage und die Ausstattung dieser Abstellplätze festlegen,</w:t>
      </w:r>
    </w:p>
    <w:p>
      <w:r>
        <w:t xml:space="preserve">die Geldbeträge für die Ablösung der notwendigen Abstellplätze für Fahrräder bestimmen.</w:t>
      </w:r>
    </w:p>
    <w:p>
      <w:r>
        <w:t xml:space="preserve">Die Sätze 1 und 2 gelten nicht für Nutzungseinheiten zu Wohnzwecken.</w:t>
      </w:r>
    </w:p>
    <w:p>
      <w:r>
        <w:t xml:space="preserve">(6) Die Gemeinde kann durch örtliche Bauvorschriften die Art, die Gestaltung und die Bauausführung der für die Errichtung und den Betrieb baulicher Anlagen erforderlichen Erschließungsanlagen bestimmen sowie nach anderen landesrechtlichen Vorschriften zulässige Festsetzungen über die Errichtung und den Betrieb baulicher Anlagen in gemeindlichen Satzungen auch in örtlichen Bauvorschriften festsetzen.</w:t>
      </w:r>
    </w:p>
    <w:p>
      <w:r>
        <w:t xml:space="preserve">(7) Die Gemeinde kann, soweit die Voraussetzungen des § 15 Absatz 1 Satz 2 des Baugesetzbuchs vorliegen, durch örtliche Bauvorschrift bestimmen, welche der nach § 61 verfahrensfreien Vorhaben spätestens einen Monat vor Durchführung des Vorhabens der Gemeinde anzuzeigen sind.</w:t>
      </w:r>
    </w:p>
    <w:p>
      <w:r>
        <w:t xml:space="preserve">(8) Die Gemeinde erlässt die örtlichen Bauvorschriften als Satzung für das Gemeindegebiet oder Teile des Gemeindegebietes. Für den Außenbereich dürfen örtliche Bauvorschriften nach Absatz 1 Satz 1 Nummer 2 nicht erlassen werden. Vor dem Erlass der Satzung ist den betroffenen Bürgern und den berührten Trägern öffentlicher Belange Gelegenheit zur Stellungnahme innerhalb einer Frist von einem Monat zu geben.</w:t>
      </w:r>
    </w:p>
    <w:p>
      <w:r>
        <w:t xml:space="preserve">(9) Örtliche Bauvorschriften nach Absatz 1 bis 6 können auch in</w:t>
      </w:r>
    </w:p>
    <w:p>
      <w:r>
        <w:t xml:space="preserve">einen Bebauungsplan nach § 30 des Baugesetzbuchs oder</w:t>
      </w:r>
    </w:p>
    <w:p>
      <w:r>
        <w:t xml:space="preserve">eine Satzung nach § 34 Absatz 4 Satz 1 Nummer 2 und 3 des Baugesetzbuchs</w:t>
      </w:r>
    </w:p>
    <w:p>
      <w:r>
        <w:t xml:space="preserve">als Festsetzungen aufgenommen werden. Für diese Festsetzungen sind die Verfahrensvorschriften des Baugesetzbuchs entsprechend anzuwenden.</w:t>
      </w:r>
    </w:p>
    <w:p>
      <w:r>
        <w:t xml:space="preserve">(10) Festsetzungen in örtlichen Bauvorschriften können auch in Form zeichnerischer Darstellungen erfolgen. Ihre Bekanntgabe kann dadurch ersetzt werden, dass dieser Teil der örtlichen Bauvorschriften bei der Gemeinde zur Einsicht ausgelegt wird; hierauf ist in den örtlichen Bauvorschriften hinzuweisen.</w:t>
      </w:r>
    </w:p>
    <w:p>
      <w:r>
        <w:t xml:space="preserve">(11) Die Absätze 1 bis 10 finden keine Anwendung auf bauliche Anlagen öffentlicher Stellen auf Militärgelände.</w:t>
      </w:r>
    </w:p>
    <w:p>
      <w:r>
        <w:t xml:space="preserve">Einzelnorm</w:t>
      </w:r>
    </w:p>
    <w:p>
      <w:r>
        <w:rPr>
          <w:color w:val="555555"/>
          <w:sz w:val="17"/>
        </w:rPr>
        <w:t xml:space="preserve">Zitiervorschlag: § 87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