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86a BbgBO (Brandenburg) — Technische Baubestimmungen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Anforderungen nach § 3 können durch Technische Baubestimmungen konkretisiert werden. Die Technischen Baubestimmungen sind zu beachten. Von den in den Technischen Baubestimmungen enthaltenen Planungs-, Bemessungs- und Ausführungsregelungen kann abgewichen werden, wenn mit einer anderen Lösung in gleichem Maße die Anforderungen erfüllt werden und in der Technischen Baubestimmung eine Abweichung nicht ausgeschlossen ist; § 16a Absatz 2, § 17 Absatz 1 und § 67 Absatz 1 bleiben unberührt.</w:t>
      </w:r>
    </w:p>
    <w:p>
      <w:r>
        <w:t xml:space="preserve">(2) Die Konkretisierungen können durch Bezugnahmen auf technische Regeln und deren Fundstellen oder auf andere Weise erfolgen, insbesondere in Bezug auf:</w:t>
      </w:r>
    </w:p>
    <w:p>
      <w:r>
        <w:t xml:space="preserve">bestimmte bauliche Anlagen oder ihre Teile,</w:t>
      </w:r>
    </w:p>
    <w:p>
      <w:r>
        <w:t xml:space="preserve">die Planung, Bemessung und Ausführung baulicher Anlagen und ihrer Teile,</w:t>
      </w:r>
    </w:p>
    <w:p>
      <w:r>
        <w:t xml:space="preserve">die Leistung von Bauprodukten in bestimmten baulichen Anlagen oder ihren Teilen, insbesondere</w:t>
      </w:r>
    </w:p>
    <w:p>
      <w:r>
        <w:t xml:space="preserve">Planung, Bemessung und Ausführung baulicher Anlagen bei Einbau eines Bauprodukts,</w:t>
      </w:r>
    </w:p>
    <w:p>
      <w:r>
        <w:t xml:space="preserve">Merkmale von Bauprodukten, die sich für einen Verwendungszweck auf die Erfüllung der Anforderungen nach § 3 Satz 1 auswirken,</w:t>
      </w:r>
    </w:p>
    <w:p>
      <w:r>
        <w:t xml:space="preserve">Verfahren für die Feststellung der Leistung eines Bauproduktes im Hinblick auf Merkmale, die sich für einen Verwendungszweck auf die Erfüllung der Anforderungen nach § 3 Satz 1 auswirken,</w:t>
      </w:r>
    </w:p>
    <w:p>
      <w:r>
        <w:t xml:space="preserve">zulässige oder unzulässige besondere Verwendungszwecke,</w:t>
      </w:r>
    </w:p>
    <w:p>
      <w:r>
        <w:t xml:space="preserve">die Festlegung von Klassen und Stufen in Bezug auf bestimmte Verwendungszwecke,</w:t>
      </w:r>
    </w:p>
    <w:p>
      <w:r>
        <w:t xml:space="preserve">die für einen bestimmten Verwendungszweck anzugebende oder erforderliche und anzugebende Leistung in Bezug auf ein Merkmal, das sich für einen Verwendungszweck auf die Erfüllung der Anforderungen nach § 3 Satz 1 auswirkt, soweit vorgesehen in Klassen und Stufen,</w:t>
      </w:r>
    </w:p>
    <w:p>
      <w:r>
        <w:t xml:space="preserve">die Bauarten und die Bauprodukte, die nur eines allgemeinen bauaufsichtlichen Prüfzeugnisses nach § 16a Absatz 3 oder nach § 19 Absatz 1 bedürfen,</w:t>
      </w:r>
    </w:p>
    <w:p>
      <w:r>
        <w:t xml:space="preserve">Voraussetzungen zur Abgabe der Übereinstimmungserklärung für ein Bauprodukt nach § 22,</w:t>
      </w:r>
    </w:p>
    <w:p>
      <w:r>
        <w:t xml:space="preserve">die Art, den Inhalt und die Form technischer Dokumentation.</w:t>
      </w:r>
    </w:p>
    <w:p>
      <w:r>
        <w:t xml:space="preserve">(3) Die Technischen Baubestimmungen enthalten die in § 17 Absatz 3 genannte Liste.</w:t>
      </w:r>
    </w:p>
    <w:p>
      <w:r>
        <w:t xml:space="preserve">(4) Das Deutsche Institut für Bautechnik macht nach Anhörung der beteiligten Kreise im Einvernehmen mit der obersten Bauaufsichtsbehörde zur Durchführung dieses Gesetzes und der aufgrund dieses Gesetzes erlassenen Rechtsverordnungen die Technischen Baubestimmungen nach Absatz 1 als Verwaltungsvorschrift bekannt. Die nach Satz 1 bekannt gemachte Verwaltungsvorschrift gilt als Verwaltungsvorschrift des Landes Brandenburg, soweit die oberste Bauaufsichtsbehörde keine abweichende Verwaltungsvorschrift im Amtsblatt für Brandenburg bekannt macht. Die Fundstelle der Bekanntmachung der Verwaltungsvorschrift nach Satz 1 wird im Amtsblatt für Brandenburg bekannt gemacht.</w:t>
      </w:r>
    </w:p>
    <w:p>
      <w:r>
        <w:t xml:space="preserve">Einzelnorm</w:t>
      </w:r>
    </w:p>
    <w:p>
      <w:r>
        <w:rPr>
          <w:color w:val="555555"/>
          <w:sz w:val="17"/>
        </w:rPr>
        <w:t xml:space="preserve">Zitiervorschlag: § 86a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https://recht.nulegal.eu/gesetze/BbgBO/86a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