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BbgBO (Brandenburg) — Ordnungswidrigkeiten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einer nach § 86 Absatz 1 bis 3 erlassenen Rechtsverordnung oder einer nach § 87 Absatz 1 und 2 erlassenen Satzung zuwiderhandelt, sofern die Rechtsverordnung oder die örtliche Bauvorschrift für einen bestimmten Tatbestand auf diese Bußgeldvorschrift verweist,</w:t>
      </w:r>
    </w:p>
    <w:p>
      <w:r>
        <w:t xml:space="preserve">einer vollziehbaren Anordnung der Bauaufsichtsbehörde zuwiderhandelt, die aufgrund dieses Gesetzes oder aufgrund einer nach diesem Gesetz zulässigen Rechtsverordnung oder Satzung erlassen worden ist, sofern die Anordnung auf die Bußgeldvorschrift verweist,</w:t>
      </w:r>
    </w:p>
    <w:p>
      <w:r>
        <w:t xml:space="preserve">ohne die erforderliche Baugenehmigung (§ 59 Absatz 1), Teilbaugenehmigung (§ 74) oder Abweichung (§ 67) oder abweichend davon bauliche Anlagen errichtet, ändert oder benutzt,</w:t>
      </w:r>
    </w:p>
    <w:p>
      <w:r>
        <w:t xml:space="preserve">entgegen der Vorschrift des § 62 Absatz 3 Satz 1 mit der Ausführung eines Bauvorhabens beginnt,</w:t>
      </w:r>
    </w:p>
    <w:p>
      <w:r>
        <w:t xml:space="preserve">Fliegende Bauten ohne Ausführungsgenehmigung (§ 76 Absatz 2) in Gebrauch nimmt oder ohne Anzeige und Abnahme (§ 76 Absatz 6) in Gebrauch nimmt,</w:t>
      </w:r>
    </w:p>
    <w:p>
      <w:r>
        <w:t xml:space="preserve">entgegen der Vorschrift des § 72 Absatz 7 mit den Bauarbeiten beginnt, entgegen der Vorschrift des § 83 Absatz 1 Bauarbeiten fortsetzt oder entgegen der Vorschrift des § 83 Absatz 2 Satz 1 und 2 bauliche Anlagen nutzt,</w:t>
      </w:r>
    </w:p>
    <w:p>
      <w:r>
        <w:t xml:space="preserve">die Baubeginnsanzeige (§ 72 Absatz 8) nicht oder nicht fristgerecht erstattet,</w:t>
      </w:r>
    </w:p>
    <w:p>
      <w:r>
        <w:t xml:space="preserve">Bauprodukte mit dem Ü-Zeichen kennzeichnet, ohne dass dafür die Voraussetzungen nach § 21 Absatz 3 bis 5 vorliegen,</w:t>
      </w:r>
    </w:p>
    <w:p>
      <w:r>
        <w:t xml:space="preserve">Bauprodukte entgegen § 21 Absatz 3 bis 5 ohne das Ü-Zeichen verwendet,</w:t>
      </w:r>
    </w:p>
    <w:p>
      <w:r>
        <w:t xml:space="preserve">Bauarten entgegen § 16a ohne Bauartgenehmigung oder allgemeines bauaufsichtliches Prüfzeugnis für Bauarten anwendet,</w:t>
      </w:r>
    </w:p>
    <w:p>
      <w:r>
        <w:t xml:space="preserve">als Bauherrin oder Bauherr, Entwurfsverfasserin oder Entwurfsverfasser, Unternehmerin oder Unternehmer, Bauleiterin oder Bauleiter oder als deren Vertreter den Vorschriften der § 53 Absatz 1 Satz 1 bis 3, 5 und 6, § 54 Absatz 1 Satz 3, § 55 Absatz 1 Satz 1 und 2 oder § 56 Absatz 1 zuwiderhandelt,</w:t>
      </w:r>
    </w:p>
    <w:p>
      <w:r>
        <w:t xml:space="preserve">entgegen § 83 Absatz 2 Satz 4 eine Feuerstätte, einen ortsfesten Verbrennungsmotor oder ein Blockheizkraftwerk in Betrieb nimmt.</w:t>
      </w:r>
    </w:p>
    <w:p>
      <w:r>
        <w:t xml:space="preserve">Ist eine Ordnungswidrigkeit nach Satz 1 Nummer 8 bis 10 begangen worden, können Gegenstände, auf die sich die Ordnungswidrigkeit bezieht, eingezogen werden; § 22 des Gesetzes über Ordnungswidrigkeiten ist anzuwenden.</w:t>
      </w:r>
    </w:p>
    <w:p>
      <w:r>
        <w:t xml:space="preserve">(2) Ordnungswidrig handelt auch, wer wider besseres Wissen</w:t>
      </w:r>
    </w:p>
    <w:p>
      <w:r>
        <w:t xml:space="preserve">unrichtige Angaben macht oder unrichtige Pläne oder Unterlagen vorlegt, um einen nach diesem Gesetz vorgesehenen Verwaltungsakt zu erwirken oder zu verhindern,</w:t>
      </w:r>
    </w:p>
    <w:p>
      <w:r>
        <w:t xml:space="preserve">als Prüfingenieurin oder Prüfingenieur unrichtige Prüfberichte erstellt,</w:t>
      </w:r>
    </w:p>
    <w:p>
      <w:r>
        <w:t xml:space="preserve">unrichtige Angaben aufgrund des Kriterienkatalogs nach § 66 Absatz 3 Satz 1 Nummer 2 macht.</w:t>
      </w:r>
    </w:p>
    <w:p>
      <w:r>
        <w:t xml:space="preserve">(3) Die Ordnungswidrigkeit kann mit einer Geldbuße bis zu 500 000 Euro geahndet werden.</w:t>
      </w:r>
    </w:p>
    <w:p>
      <w:r>
        <w:t xml:space="preserve">(4) Verwaltungsbehörde im Sinne des § 36 Absatz 1 Nummer 1 des Gesetzes über Ordnungswidrigkeiten ist die untere Bauaufsichtsbehörde. Ist die amtsfreie Gemeinde, das Amt, die Verbandsgemeinde, die mitverwaltete Gemeinde oder die mitverwaltende Gemeinde nach § 58 Absatz 6 und 7 als Sonderordnungsbehörde zuständig, so ist diese Verwaltungsbehörde im Sinne des § 36 Absatz 1 Nummer 1 des Gesetzes über Ordnungswidrigkeiten.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85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https://recht.nulegal.eu/gesetze/BbgBO/85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