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BbgBO (Brandenburg) — Baulasten, Baulastenverzeichnis</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Durch Erklärung gegenüber der Bauaufsichtsbehörde können Grundstückseigentümerinnen und Grundstückseigentümer öffentlich-rechtliche Verpflichtungen zu einem ihre Grundstücke betreffenden Tun, Dulden oder Unterlassen übernehmen, die sich nicht schon aus öffentlich-rechtlichen Vorschriften ergeben. Erbbauberechtigte können ihr Erbbaurecht in entsprechender Weise belasten. Baulasten werden unbeschadet der Rechte Dritter mit der Eintragung in das Baulastenverzeichnis wirksam und wirken auch gegenüber Rechtsnachfolgerinnen und Rechtsnachfolgern.</w:t>
      </w:r>
    </w:p>
    <w:p>
      <w:r>
        <w:t xml:space="preserve">(2) Die Erklärung nach Absatz 1 bedarf der Schriftform; die Unterschrift muss öffentlich beglaubigt oder von einer Öffentlich bestellten Vermessungsingenieurin oder einem Öffentlich bestellten Vermessungsingenieur oder von der Katasterbehörde beglaubigt sein, wenn sie nicht vor der Bauaufsichtsbehörde geleistet oder vor ihr anerkannt wird. Für Grundstücke im Gebiet eines angeordneten Verfahrens nach dem Flurbereinigungsgesetz oder dem 8. Abschnitt des Landwirtschaftsanpassungsgesetzes kann die Erklärung nach Satz 1 auch vor der Flurbereinigungsbehörde geleistet werden; § 15 des Flurbereinigungsgesetzes gilt entsprechend.</w:t>
      </w:r>
    </w:p>
    <w:p>
      <w:r>
        <w:t xml:space="preserve">(3) Die Baulast geht durch Verzicht der Bauaufsichtsbehörde unter. Der Verzicht ist zu erklären, wenn ein öffentliches Interesse an der Baulast nicht mehr besteht. Vor dem Verzicht sollen die oder der Verpflichtete und die durch die Baulast Begünstigten angehört werden. Der Verzicht wird mit der Löschung der Baulast im Baulastenverzeichnis wirksam.</w:t>
      </w:r>
    </w:p>
    <w:p>
      <w:r>
        <w:t xml:space="preserve">(4) Das Baulastenverzeichnis wird von der Bauaufsichtsbehörde geführt. In das Baulastenverzeichnis können auch eingetragen werden</w:t>
      </w:r>
    </w:p>
    <w:p>
      <w:r>
        <w:t xml:space="preserve">andere baurechtliche Verpflichtungen des Grundstückseigentümers zu einem sein Grundstück betreffendes Tun, Dulden oder Unterlassen,</w:t>
      </w:r>
    </w:p>
    <w:p>
      <w:r>
        <w:t xml:space="preserve">Auflagen, Bedingungen, Befristungen und Widerrufsvorbehalte.</w:t>
      </w:r>
    </w:p>
    <w:p>
      <w:r>
        <w:t xml:space="preserve">(5) Wer ein berechtigtes Interesse darlegt, kann in das Baulastenverzeichnis Einsicht nehmen oder sich einen Auszug erstellen lassen. Öffentlich bestellte Vermessungsingenieurinnen und Öffentlich bestellte Vermessungsingenieure sowie Notarinnen und Notare sind befugt, das Baulastenverzeichnis einzusehen, ohne dass es der Darlegung eines berechtigten Interesses bedarf. Angaben darüber, welche Flächen von Baulasten betroffen sind, können über geeignete, öffentlich verfügbare elektronische Kommunikationsmittel bereitgestellt werden.</w:t>
      </w:r>
    </w:p>
    <w:p>
      <w:r>
        <w:t xml:space="preserve">(6) Die bestehenden rechtlichen Sicherungen durch beschränkte persönliche Dienstbarkeiten behalten ihre Gültigkeit, soweit sie nicht durch Baulasten nach Absatz 1 ersetzt und die Eintragungen im Grundbuch gelöscht wurden.</w:t>
      </w:r>
    </w:p>
    <w:p>
      <w:r>
        <w:t xml:space="preserve">Einzelnorm</w:t>
      </w:r>
    </w:p>
    <w:p>
      <w:r>
        <w:rPr>
          <w:color w:val="555555"/>
          <w:sz w:val="17"/>
        </w:rPr>
        <w:t xml:space="preserve">Zitiervorschlag: § 84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https://recht.nulegal.eu/gesetze/BbgBO/84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