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BbgBO (Brandenburg) — Nicht überbaute Flächen der bebauten Grundstücke, Kinderspielplätze</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nicht mit Gebäuden oder vergleichbaren baulichen Anlagen überbauten Flächen der bebauten Grundstücke sind</w:t>
      </w:r>
    </w:p>
    <w:p>
      <w:r>
        <w:t xml:space="preserve">wasseraufnahmefähig zu belassen oder herzustellen und</w:t>
      </w:r>
    </w:p>
    <w:p>
      <w:r>
        <w:t xml:space="preserve">zu begrünen oder zu bepflanzen,</w:t>
      </w:r>
    </w:p>
    <w:p>
      <w:r>
        <w:t xml:space="preserve">soweit dem nicht die Erfordernisse einer anderen zulässigen Verwendung der Flächen entgegenstehen. Satz 1 findet keine Anwendung, soweit Bebauungspläne oder andere Satzungen Festsetzungen zu den nicht überbauten Flächen treffen.</w:t>
      </w:r>
    </w:p>
    <w:p>
      <w:r>
        <w:t xml:space="preserve">(2) Bei der Errichtung von Gebäuden mit mehr als zehn Wohnungen müssen die durch die Gemeinde in einer örtlichen Bauvorschrift nach § 87 festgesetzten Kinderspielplätze auf dem Baugrundstück oder in unmittelbarer Nähe auf einem anderen geeigneten Grundstück, dessen dauerhafte Nutzung für diesen Zweck öffentlich-rechtlich gesichert sein muss, hergestellt werden. Dies gilt nicht, wenn in unmittelbarer Nähe eine Gemeinschaftsanlage oder ein sonstiger für Kinder nutzbarer Spielplatz geschaffen wird oder vorhanden oder ein solcher Spielplatz wegen der Art und der Lage der Wohnung nicht erforderlich ist.</w:t>
      </w:r>
    </w:p>
    <w:p>
      <w:r>
        <w:t xml:space="preserve">(3) Soweit die Bauherrin oder der Bauherr durch örtliche Bauvorschrift zur Herstellung von Kinderspielplätzen verpflichtet ist, kann die Gemeinde durch öffentlich-rechtlichen Vertrag mit der Bauherrin oder dem Bauherrn vereinbaren, dass die Bauherrin oder der Bauherr ihre oder seine Verpflichtung ganz oder teilweise durch Zahlung eines Geldbetrages an die Gemeinde ablöst (Kinderspielplatzablösevertrag). Der Anspruch der Gemeinde auf Zahlung des im Kinderspielplatzablösevertrages vereinbarten Geldbetrages entsteht mit Baubeginn.</w:t>
      </w:r>
    </w:p>
    <w:p>
      <w:r>
        <w:t xml:space="preserve">(4) Die Gemeinde hat den Geldbetrag für die Ablösung von Kinderspielplätzen für die Herstellung zusätzlicher oder die Instandhaltung, die Instandsetzung oder die Modernisierung bestehender Kinderspielplätze zu verwenden.</w:t>
      </w:r>
    </w:p>
    <w:p>
      <w:r>
        <w:t xml:space="preserve">Einzelnorm</w:t>
      </w:r>
    </w:p>
    <w:p>
      <w:r>
        <w:rPr>
          <w:color w:val="555555"/>
          <w:sz w:val="17"/>
        </w:rPr>
        <w:t xml:space="preserve">Zitiervorschlag: § 8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