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BbgBO (Brandenburg) — Bauantrag, Bauvorlagen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Bauaufsichtsbehörde entscheidet in allen bauaufsichtlichen Genehmigungsverfahren nur auf Antrag der Bauherrin oder des Bauherrn (Bauantrag). Der Bauantrag ist in elektronischer Form bei der Bauaufsichtsbehörde einzureichen.</w:t>
      </w:r>
    </w:p>
    <w:p>
      <w:r>
        <w:t xml:space="preserve">(2) Mit dem Bauantrag sind alle für die Beurteilung des Bauvorhabens und die Bearbeitung des Bauantrags erforderlichen Unterlagen (Bauvorlagen) einzureichen. Die Bauaufsichtsbehörde kann gestatten, dass einzelne Bauvorlagen nachgereicht werden.</w:t>
      </w:r>
    </w:p>
    <w:p>
      <w:r>
        <w:t xml:space="preserve">(3) In besonderen Fällen kann zur Beurteilung der Einwirkung der baulichen Anlagen auf die Umgebung verlangt werden, dass die bauliche Anlage in geeigneter Weise auf dem Grundstück dargestellt wird.</w:t>
      </w:r>
    </w:p>
    <w:p>
      <w:r>
        <w:t xml:space="preserve">(4) Ist die Bauherrin oder der Bauherr nicht Grundstückseigentümerin oder Grundstückseigentümer, so kann die Zustimmung der Grundstückseigentümerin oder des Grundstückseigentümers zu dem Bauvorhaben gefordert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68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