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65c BbgBO (Brandenburg) — Ausgleichsmaßnahmen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Antragsteller, die nicht in die Liste nach § 65a Absatz 2 und 3 eingetragen werden können, weil sie aufgrund von wesentlichen Unterschieden nicht über eine gleichwertige Berufsqualifikation verfügen und die über einen Ausbildungsnachweis verfügen, der dem Berufsqualifikationsniveau nach Artikel 11 Buchstabe b bis e der Richtlinie 2005/36/EG entspricht, können einen höchstens dreijährigen Anpassungslehrgang absolvieren oder eine Eignungsprüfung ablegen. Beantragt eine Inhaberin oder ein Inhaber einer Berufsqualifikation gemäß Artikel 11 Buchstabe a der Richtlinie 2005/36/EG die Anerkennung ihrer oder seiner Berufsqualifikationen und ist die erforderliche Berufsqualifikation unter Artikel 11 Buchstabe d der Richtlinie eingestuft, so kann die Brandenburgische Ingenieurkammer sowohl einen Anpassungslehrgang als auch eine Eignungsprüfung vorschreiben.</w:t>
      </w:r>
    </w:p>
    <w:p>
      <w:r>
        <w:t xml:space="preserve">(2) Die Einzelheiten zur Durchführung von Ausgleichsmaßnahmen werden durch Satzung der Brandenburgischen Ingenieurkammer festgelegt.</w:t>
      </w:r>
    </w:p>
    <w:p>
      <w:r>
        <w:t xml:space="preserve">(3) Die Brandenburgische Ingenieurkammer kann mit anderen zuständigen Stellen innerhalb der Bundesrepublik Deutschland landesübergreifende Vereinbarungen zur Durchführung von Ausgleichsmaßnahmen schließen. Die Vereinbarung bedarf der Genehmigung des für das Bauordnungsrecht zuständigen Mitglieds der Landesregierung.</w:t>
      </w:r>
    </w:p>
    <w:p>
      <w:r>
        <w:rPr>
          <w:color w:val="555555"/>
          <w:sz w:val="17"/>
        </w:rPr>
        <w:t xml:space="preserve">Zitiervorschlag: § 65c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https://recht.nulegal.eu/gesetze/BbgBO/65c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