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65b BbgBO (Brandenburg) — Eintragungsverfahren für Antragstellende aus anderen Mitgliedstaaten der Europäischen Union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Form des Antrags auf Eintragung, die einzureichenden Unterlagen sowie das diesbezügliche Verfahren gelten die §§ 12 und 13 des Brandenburgischen Berufsqualifikationsfeststellungsgesetzes.</w:t>
      </w:r>
    </w:p>
    <w:p>
      <w:r>
        <w:t xml:space="preserve">(2) Antragsteller haben Unterlagen nach Artikel 50 Absatz 1 der Richtlinie 2005/36/EG in Verbindung mit deren Anhang VII Nummer 1 Buchstabe a und Buchstabe b Satz 1 sowie auf Anforderung nach Anhang VII Nummer 1 Buchstabe b Satz 2 dieser Richtlinie vorzulegen. Gibt die Antragstellerin oder der Antragsteller an, hierzu nicht in der Lage zu sein, wendet sich die Brandenburgische Ingenieurkammer zur Beschaffung der erforderlichen Unterlagen an die Kontaktstelle, die zuständige Behörde oder eine Ausbildungsstelle. Bei Ausbildungsnachweisen gemäß Artikel 50 Absatz 3 der Richtlinie 2005/36/EG kann die Brandenburgische Ingenieurkammer bei berechtigten Zweifeln von der zuständigen Stelle des Ausstellungsstaates die Überprüfung der Kriterien gemäß Artikel 50 Absatz 3 Buchstabe a bis c der Richtlinie verlangen. War die Antragstellerin oder der Antragsteller bereits in einem anderen Mitgliedstaat der Europäischen Union oder einem gleichgestellten Staat tätig, kann die Brandenburgische Ingenieurkammer im Fall berechtigter Zweifel von der im Herkunftsstaat zuständigen Behörde eine Bestätigung der Tatsache verlangen, dass die Ausübung dieses Berufes durch die Antragstellerin oder den Antragsteller nicht aufgrund schwerwiegenden standeswidrigen Verhaltens oder einer Verurteilung wegen strafbarer Handlungen untersagt worden ist. Im Übrigen finden die Vorschriften des Artikels 50 Absatz 1 der Richtlinie 2005/36/EG in Verbindung mit deren Anhang VII Nummer 1 Buchstabe d bis g Anwendung. Die auf Verlangen übermittelten Unterlagen und Bescheinigungen dürfen bei ihrer Vorlage nicht älter als drei Monate sein. Der Informationsaustausch erfolgt über das Binnenmarkt-Informationssystem.</w:t>
      </w:r>
    </w:p>
    <w:p>
      <w:r>
        <w:t xml:space="preserve">(3) Über die Eintragung in die Liste nach § 65a Absatz 1 ist eine Bescheinigung auszustellen. Die Liste enthält folgende Angaben:</w:t>
      </w:r>
    </w:p>
    <w:p>
      <w:r>
        <w:t xml:space="preserve">Zeitpunkt der Eintragung,</w:t>
      </w:r>
    </w:p>
    <w:p>
      <w:r>
        <w:t xml:space="preserve">Familienname, Geburtsname und Vornamen,</w:t>
      </w:r>
    </w:p>
    <w:p>
      <w:r>
        <w:t xml:space="preserve">Geburtsdatum und Geburtsort,</w:t>
      </w:r>
    </w:p>
    <w:p>
      <w:r>
        <w:t xml:space="preserve">akademische Grade und Titel,</w:t>
      </w:r>
    </w:p>
    <w:p>
      <w:r>
        <w:t xml:space="preserve">ladungsfähige Adresse.</w:t>
      </w:r>
    </w:p>
    <w:p>
      <w:r>
        <w:t xml:space="preserve">Die Liste enthält darüber hinaus Angaben über die Staatsangehörigkeit der Antragstellerin oder des Antragstellers und den Staat, in dem sie oder er seine Berufsqualifikation erworben hat. Wesentliche Änderungen gegenüber der nach Satz 2 bescheinigten Situation hat die Antragstellerin oder der Antragsteller der Brandenburgischen Ingenieurkammer unverzüglich mitzuteilen. Die für die Löschung aus Listen geltenden Regelungen des Brandenburgischen Ingenieurgesetzes in der jeweils geltenden Fassung gelten auch für diese Liste.</w:t>
      </w:r>
    </w:p>
    <w:p>
      <w:r>
        <w:t xml:space="preserve">(4) Kann eine Eintragung in die Liste nicht erfolgen, weil die Antragstellerin oder der Antragsteller die Voraussetzungen des § 65a Absatz 3 nicht erfüllt, ist dies durch Bescheid nach § 10 des Brandenburgischen Berufsqualifikationsfeststellungsgesetzes festzustellen.</w:t>
      </w:r>
    </w:p>
    <w:p>
      <w:r>
        <w:rPr>
          <w:color w:val="555555"/>
          <w:sz w:val="17"/>
        </w:rPr>
        <w:t xml:space="preserve">Zitiervorschlag: § 65b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https://recht.nulegal.eu/gesetze/BbgBO/65b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