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BbgBO (Brandenburg) — Baugenehmigungsverfahren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genehmigungspflichtigen Anlagen prüft die Bauaufsichtsbehörde die Zulässigkeit nach</w:t>
      </w:r>
    </w:p>
    <w:p>
      <w:r>
        <w:t xml:space="preserve">den Vorschriften des Baugesetzbuchs,</w:t>
      </w:r>
    </w:p>
    <w:p>
      <w:r>
        <w:t xml:space="preserve">den Vorschriften dieses Gesetzes und aufgrund dieses Gesetzes,</w:t>
      </w:r>
    </w:p>
    <w:p>
      <w:r>
        <w:t xml:space="preserve">anderen öffentlich-rechtlichen Vorschriften, soweit diese für das Vorhaben beachtlich sind.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64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https://recht.nulegal.eu/gesetze/BbgBO/64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