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BbgBO (Brandenburg) — Vereinfachtes Baugenehmigungsverfahren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Errichtung und Änderung von Wohngebäuden der Gebäudeklasse 1 bis 3 einschließlich der zugehörigen notwendigen Stellplätze, notwendigen Abstellplätze für Fahrräder, ihrer Garagen, Nebengebäude und Nebenanlagen, im Geltungsbereich eines rechtswirksamen Bebauungsplans nach § 30 Absatz 1 oder Absatz 2 des Baugesetzbuchs wird abweichend von § 64 auf Antrag der Bauherrin oder des Bauherrn ein vereinfachtes Baugenehmigungsverfahren durchgeführt, wenn das Vorhaben den Festsetzungen des Bebauungsplans nicht widerspricht und die Erschließung gesichert ist.</w:t>
      </w:r>
    </w:p>
    <w:p>
      <w:r>
        <w:t xml:space="preserve">(2) Die Bauherrin oder der Bauherr hat mit dem vollständigen Bauantrag die Erklärung der Entwurfsverfasserin oder des Entwurfsverfassers vorzulegen, dass für das Vorhaben die Zulassung von Ausnahmen oder Befreiungen nach § 31 des Baugesetzbuchs sowie von Abweichungen nach § 67 nicht erforderlich ist und das Vorhaben im Übrigen den öffentlich-rechtlichen Vorschriften entspricht.</w:t>
      </w:r>
    </w:p>
    <w:p>
      <w:r>
        <w:t xml:space="preserve">(3) Die Bauaufsichtsbehörde prüft die Beachtung</w:t>
      </w:r>
    </w:p>
    <w:p>
      <w:r>
        <w:t xml:space="preserve">der Festsetzungen des Bebauungsplans,</w:t>
      </w:r>
    </w:p>
    <w:p>
      <w:r>
        <w:t xml:space="preserve">anderer öffentlich-rechtlicher Vorschriften, soweit diese für das Vorhaben beachtlich sind.</w:t>
      </w:r>
    </w:p>
    <w:p>
      <w:r>
        <w:t xml:space="preserve">(4) Über den Bauantrag ist innerhalb von drei Monaten nach Vorlage der vollständigen Antragsunterlagen zu entscheiden; die Bauaufsichtsbehörde kann diese Frist gegenüber der Bauherrin oder dem Bauherrn aus wichtigem Grund um bis zu zwei Monate verlängern. Der Antrag gilt als genehmigt, wenn über ihn nicht innerhalb der nach Satz 1 maßgeblichen Frist entschieden worden ist.</w:t>
      </w:r>
    </w:p>
    <w:p>
      <w:r>
        <w:t xml:space="preserve">Einzelnorm</w:t>
      </w:r>
    </w:p>
    <w:p>
      <w:r>
        <w:rPr>
          <w:color w:val="555555"/>
          <w:sz w:val="17"/>
        </w:rPr>
        <w:t xml:space="preserve">Zitiervorschlag: § 63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