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BbgBO (Brandenburg) — Vorrang anderer Gestattungsverfahren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Keiner Baugenehmigung, Bauanzeige, Zulassungen von Abweichungen, Zustimmung, Bauzustandsanzeige und Bauüberwachung nach diesem Gesetz bedürfen</w:t>
      </w:r>
    </w:p>
    <w:p>
      <w:r>
        <w:t xml:space="preserve">Anlagen, die einer Genehmigung nach dem Atomgesetz bedürfen,</w:t>
      </w:r>
    </w:p>
    <w:p>
      <w:r>
        <w:t xml:space="preserve">Werbeanlagen, soweit sie einer Ausnahmegenehmigung oder einer Zulassung nach Landesstraßenrecht bedürfen.</w:t>
      </w:r>
    </w:p>
    <w:p>
      <w:r>
        <w:t xml:space="preserve">Für Anlagen, die nach Satz 1 keiner Baugenehmigung, Abweichung oder Zustimmung bedürfen, nimmt die für den Vollzug der entsprechenden Rechtsvorschriften zuständige Behörde die Aufgaben und Befugnisse der Bauaufsichtsbehörde wahr.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60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