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54 BbgBO (Brandenburg) — Entwurfsverfasserin und Entwurfsverfasser</w:t>
      </w:r>
    </w:p>
    <w:p>
      <w:r>
        <w:rPr>
          <w:color w:val="555555"/>
          <w:sz w:val="18"/>
        </w:rPr>
        <w:t xml:space="preserve">Brandenburgische Bauordnung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Entwurfsverfasserin oder der Entwurfsverfasser muss nach Sachkunde und Erfahrung zur Vorbereitung des jeweiligen Bauvorhabens geeignet sein. Sie oder er ist für die Vollständigkeit und Brauchbarkeit ihres oder seines Entwurfs verantwortlich. Die Entwurfsverfasserin oder der Entwurfsverfasser hat dafür zu sorgen, dass die für die Ausführung notwendigen Einzelzeichnungen, Einzelberechnungen und Anweisungen den öffentlich-rechtlichen Vorschriften entsprechen.</w:t>
      </w:r>
    </w:p>
    <w:p>
      <w:r>
        <w:t xml:space="preserve">(2) Hat die Entwurfsverfasserin oder der Entwurfsverfasser auf einzelnen Fachgebieten nicht die erforderliche Sachkunde und Erfahrung, so sind geeignete Fachplanerinnen oder Fachplaner heranzuziehen. Diese sind für die von ihnen gefertigten Unterlagen verantwortlich. Für das ordnungsgemäße Ineinandergreifen aller Fachplanungen bleibt die Entwurfsverfasserin oder der Entwurfsverfasser verantwortlich.</w:t>
      </w:r>
    </w:p>
    <w:p>
      <w:r>
        <w:t xml:space="preserve">Einzelnorm</w:t>
      </w:r>
    </w:p>
    <w:p>
      <w:r>
        <w:rPr>
          <w:color w:val="555555"/>
          <w:sz w:val="17"/>
        </w:rPr>
        <w:t xml:space="preserve">Zitiervorschlag: § 54 BbgBO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https://recht.nulegal.eu/gesetze/BbgBO/54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