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BbgBO (Brandenburg) — Bauherrin und Bauherr</w:t>
      </w:r>
    </w:p>
    <w:p>
      <w:r>
        <w:rPr>
          <w:color w:val="555555"/>
          <w:sz w:val="18"/>
        </w:rPr>
        <w:t xml:space="preserve">Brandenburgische Bauordnung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Bauherrin oder der Bauherr hat zur Vorbereitung, Überwachung und Ausführung eines nicht verfahrensfreien Bauvorhabens sowie der Beseitigung von Anlagen geeignete Beteiligte nach Maßgabe der §§ 54 bis 56 zu bestellen, soweit sie oder er nicht selbst zur Erfüllung der Verpflichtungen nach diesen Vorschriften geeignet ist. Der Bauherrin oder dem Bauherrn obliegen außerdem die nach den öffentlich-rechtlichen Vorschriften erforderlichen Anträge, Anzeigen und Nachweise, soweit sie nicht von der Konzentrationswirkung der Baugenehmigung erfasst werden. Sie oder er hat die zur Erfüllung der Anforderungen dieses Gesetzes oder aufgrund dieses Gesetzes erforderlichen Nachweise und Unterlagen zu den verwendeten Bauprodukten und den angewandten Bauarten bereitzuhalten. Werden Bauprodukte verwendet, die die CE-Kennzeichnung nach der Verordnung (EU) 2024/3110 tragen, ist die Leistungs- und Konformitätserklärung bereitzuhalten. Sie oder er hat vor Baubeginn den Namen der Bauleiterin oder des Bauleiters und während der Bauausführung einen Wechsel dieser Person unverzüglich der Bauaufsichtsbehörde in Textform mitzuteilen. Wechselt die Bauherrin oder der Bauherr, hat die neue Bauherrin oder der neue Bauherr dies der Bauaufsichtsbehörde unverzüglich in Textform mitzuteilen.</w:t>
      </w:r>
    </w:p>
    <w:p>
      <w:r>
        <w:t xml:space="preserve">(2) Treten bei einem Bauvorhaben mehrere Personen als Bauherrin oder Bauherr auf, so kann die Bauaufsichtsbehörde verlangen, dass ihr gegenüber eine Vertreterin oder ein Vertreter bestellt wird, die oder der die der Bauherrin oder dem Bauherrn nach den öffentlich-rechtlichen Vorschriften obliegenden Verpflichtungen zu erfüllen hat. Im Übrigen findet § 18 Absatz 1 Satz 2 und 3 sowie Absatz 2 des Verwaltungsverfahrensgesetzes in Verbindung mit § 1 Absatz 1 Satz 1 des Verwaltungsverfahrensgesetzes für das Land Brandenburg entsprechende Anwendung mit der Maßgabe, dass eine Erklärung in Textform ausreichend ist.</w:t>
      </w:r>
    </w:p>
    <w:p>
      <w:r>
        <w:t xml:space="preserve">Einzelnorm</w:t>
      </w:r>
    </w:p>
    <w:p>
      <w:r>
        <w:rPr>
          <w:color w:val="555555"/>
          <w:sz w:val="17"/>
        </w:rPr>
        <w:t xml:space="preserve">Zitiervorschlag: § 53 BbgBO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https://recht.nulegal.eu/gesetze/BbgBO/53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