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BbgBO (Brandenburg) — Aufenthaltsräume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Aufenthaltsräume müssen eine lichte Raumhöhe von mindestens 2,30 Meter haben. Aufenthaltsräume im Dachraum müssen eine lichte Raumhöhe von mindestens 2,20 Meter über mindestens der Hälfte ihrer Netto-Raumfläche haben; Raumteile mit einer lichten Raumhöhe bis zu 1,50 Meter bleiben außer Betracht.</w:t>
      </w:r>
    </w:p>
    <w:p>
      <w:r>
        <w:t xml:space="preserve">(2) Aufenthaltsräume müssen ausreichend belüftet und mit Tageslicht beleuchtet werden können. Sie müssen Fenster mit einem Rohbaumaß der Fensteröffnungen von mindestens ein Achtel der Netto-Grundfläche des Raumes einschließlich der Netto-Grundfläche verglaster Vorbauten und Loggien haben.</w:t>
      </w:r>
    </w:p>
    <w:p>
      <w:r>
        <w:t xml:space="preserve">(3) Aufenthaltsräume, deren Nutzung eine Belichtung mit Tageslicht verbietet, sowie Verkaufsräume, Schank- und Speisegaststätten, ärztliche Behandlungs-, Sport-, Spiel-, Werk- und ähnliche Räume sind ohne Fenster zulässig.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47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https://recht.nulegal.eu/gesetze/BbgBO/47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