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BbgBO (Brandenburg) — Bebauung der Grundstücke mit Gebäuden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Gebäude dürfen nur errichtet werden, wenn das Grundstück in angemessener Breite an einer befahrbaren öffentlichen Verkehrsfläche liegt oder wenn das Grundstück eine befahrbare, öffentlich-rechtlich gesicherte Zufahrt zu einer befahrbaren öffentlichen Verkehrsfläche hat.</w:t>
      </w:r>
    </w:p>
    <w:p>
      <w:r>
        <w:t xml:space="preserve">(2) Ein Gebäude auf mehreren Grundstücken ist nur zulässig, wenn öffentlich-rechtlich gesichert ist, dass dadurch keine Verhältnisse eintreten können, die Vorschriften dieses Gesetzes oder aufgrund dieses Gesetzes widersprechen. Satz 1 gilt bei bestehenden Gebäuden nicht für eine Außenwand- und Dachdämmung, die über die Bauteilanforderungen des Gebäudeenergiegesetzes vom 8. August 2020 (BGBl. I S. 1728), das zuletzt durch Artikel 1 des Gesetzes vom 16. Oktober 2023 (BGBl. 2023 l Nr. 280) geändert worden ist, in der jeweils geltenden Fassung für bestehende Gebäude nicht hinausgeht. Satz 2 gilt entsprechend für die mit der Wärmedämmung zusammenhängenden notwendigen Änderungen von Bauteilen.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BbgBO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https://recht.nulegal.eu/gesetze/BbgBO/4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