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BbgBO (Brandenburg) — Übereinstimmungserklärung der Herstellerin oder des Herstellers</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Herstellerin oder der Hersteller darf eine Übereinstimmungserklärung nur abgeben, wenn sie oder er durch werkseigene Produktionskontrolle sichergestellt hat, dass das von ihr oder ihm hergestellte Bauprodukt den maßgebenden technischen Regeln, der allgemeinen bauaufsichtlichen Zulassung, dem allgemeinen bauaufsichtlichen Prüfzeugnis oder der Zustimmung im Einzelfall entspricht.</w:t>
      </w:r>
    </w:p>
    <w:p>
      <w:r>
        <w:t xml:space="preserve">(2) In den Technischen Baubestimmungen nach § 86a, in den allgemeinen bauaufsichtlichen Zulassungen, in den allgemeinen bauaufsichtlichen Prüfzeugnissen oder in den Zustimmungen im Einzelfall kann eine Prüfung der Bauprodukte durch eine Prüfstelle nach § 24 Satz 1 Nummer 2 vor Abgabe der Übereinstimmungserklärung vorgeschrieben werden, wenn dies zur Sicherung einer ordnungsgemäßen Herstellung erforderlich ist. In diesen Fällen hat die Prüfstelle das Bauprodukt daraufhin zu überprüfen, ob es den Technischen Baubestimmungen nach § 86a Absatz 2, der allgemeinen bauaufsichtlichen Zulassung, dem allgemeinen bauaufsichtlichen Prüfzeugnis oder der Zustimmung im Einzelfall entspricht.</w:t>
      </w:r>
    </w:p>
    <w:p>
      <w:r>
        <w:t xml:space="preserve">(3) In den Technischen Baubestimmungen nach § 86a, in den allgemeinen bauaufsichtlichen Zulassungen oder in den Zustimmungen im Einzelfall kann eine Zertifizierung vor Abgabe der Übereinstimmungserklärung vorgeschrieben werden, wenn dies zum Nachweis einer ordnungsgemäßen Herstellung eines Bauproduktes erforderlich ist. Die oberste Bauaufsichtsbehörde kann im Einzelfall die Verwendung von Bauprodukten ohne Zertifizierung gestatten, wenn nachgewiesen ist, dass diese Bauprodukte den technischen Regeln, Zulassungen, Prüfzeugnissen oder Zustimmungen im Einzelfall entsprechen.</w:t>
      </w:r>
    </w:p>
    <w:p>
      <w:r>
        <w:t xml:space="preserve">(4) Bauprodukte, die nicht in Serie hergestellt werden, bedürfen nur einer Übereinstimmungserklärung nach Absatz 1, sofern nichts anderes bestimmt ist.</w:t>
      </w:r>
    </w:p>
    <w:p>
      <w:r>
        <w:t xml:space="preserve">Einzelnorm</w:t>
      </w:r>
    </w:p>
    <w:p>
      <w:r>
        <w:rPr>
          <w:color w:val="555555"/>
          <w:sz w:val="17"/>
        </w:rPr>
        <w:t xml:space="preserve">Zitiervorschlag: § 22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