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BbgBO (Brandenburg) — Verwendbarkeitsnachweise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 Verwendbarkeitsnachweis nach den §§ 18 bis 20 ist für ein Bauprodukt erforderlich, wenn</w:t>
      </w:r>
    </w:p>
    <w:p>
      <w:r>
        <w:t xml:space="preserve">es für dieses keine Technische Baubestimmung und keine allgemein anerkannte Regel der Technik gibt,</w:t>
      </w:r>
    </w:p>
    <w:p>
      <w:r>
        <w:t xml:space="preserve">das Bauprodukt von einer Technischen Baubestimmung nach § 86a Absatz 2 Nummer 3 wesentlich abweicht oder</w:t>
      </w:r>
    </w:p>
    <w:p>
      <w:r>
        <w:t xml:space="preserve">eine Verordnung nach § 86 Absatz 4a es vorsieht.</w:t>
      </w:r>
    </w:p>
    <w:p>
      <w:r>
        <w:t xml:space="preserve">(2) Ein Verwendbarkeitsnachweis ist nicht erforderlich für ein Bauprodukt,</w:t>
      </w:r>
    </w:p>
    <w:p>
      <w:r>
        <w:t xml:space="preserve">das von einer allgemein anerkannten Regel der Technik abweicht oder</w:t>
      </w:r>
    </w:p>
    <w:p>
      <w:r>
        <w:t xml:space="preserve">das für die Erfüllung der Anforderungen dieses Gesetzes oder aufgrund dieses Gesetzes nur eine untergeordnete Bedeutung hat.</w:t>
      </w:r>
    </w:p>
    <w:p>
      <w:r>
        <w:t xml:space="preserve">(3) Die Technischen Baubestimmungen nach § 86a enthalten eine nicht abschließende Liste von Bauprodukten, die keines Verwendbarkeitsnachweises nach Absatz 1 bedürfen.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17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