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16c BbgBO (Brandenburg) — Anforderungen für die Verwendung von CE-gekennzeichneten sowie nicht-seriengefertigten Bauprodukten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Bauprodukt, das die CE-Kennzeichnung trägt, darf verwendet werden, wenn die erklärten Leistungen den in diesem Gesetz oder aufgrund dieses Gesetzes festgelegten Anforderungen für diese Verwendung entsprechen.</w:t>
      </w:r>
    </w:p>
    <w:p>
      <w:r>
        <w:t xml:space="preserve">(2) Ein Bauprodukt, das unter den Voraussetzungen des Artikels 14 der Verordnung (EU) 2024/3110 ohne Leistungs- und Konformitätserklärung und ohne CE-Kennzeichnung auf dem Markt bereitgestellt wird, muss den in diesem Gesetz oder aufgrund dieses Gesetzes festgelegten Anforderungen für diese Verwendung entsprechen.</w:t>
      </w:r>
    </w:p>
    <w:p>
      <w:r>
        <w:t xml:space="preserve">(3) Die §§ 17 bis 25 Absatz 1 gelten nicht für Bauprodukte, die die CE-Kennzeichnung aufgrund der Verordnung (EU) 2024/3110 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16c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https://recht.nulegal.eu/gesetze/BbgBO/16c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