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BbgBO (Brandenburg) — Bauarten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Bauarten dürfen nur angewendet werden, wenn bei ihrer Anwendung die baulichen Anlagen bei ordnungsgemäßer Instandhaltung während einer dem Zweck entsprechenden angemessenen Zeitdauer die Anforderungen dieses Gesetzes oder aufgrund dieses Gesetzes erfüllen und für ihren Anwendungszweck tauglich sind.</w:t>
      </w:r>
    </w:p>
    <w:p>
      <w:r>
        <w:t xml:space="preserve">(2) Bauarten, die von Technischen Baubestimmungen nach § 86a Absatz 2 Nummer 2 oder Nummer 3 Buchstabe a wesentlich abweichen oder für die es allgemein anerkannte Regeln der Technik nicht gibt, dürfen bei der Errichtung, Änderung und Instandhaltung baulicher Anlagen nur angewendet werden, wenn für sie</w:t>
      </w:r>
    </w:p>
    <w:p>
      <w:r>
        <w:t xml:space="preserve">eine allgemeine Bauartgenehmigung durch das Deutsche Institut für Bautechnik oder</w:t>
      </w:r>
    </w:p>
    <w:p>
      <w:r>
        <w:t xml:space="preserve">eine vorhabenbezogene Bauartgenehmigung durch die oberste Bauaufsichtsbehörde</w:t>
      </w:r>
    </w:p>
    <w:p>
      <w:r>
        <w:t xml:space="preserve">erteilt worden ist. § 18 Absatz 2 bis 7 gilt entsprechend.</w:t>
      </w:r>
    </w:p>
    <w:p>
      <w:r>
        <w:t xml:space="preserve">(3) Anstelle einer allgemeinen Bauartgenehmigung genügt ein allgemeines bauaufsichtliches Prüfzeugnis für Bauarten, wenn die Bauart nach allgemein anerkannten Prüfverfahren beurteilt werden kann. In der Verwaltungsvorschrift nach § 86a werden diese Bauarten mit der Angabe der maßgebenden technischen Regeln bekannt gemacht. § 19 Absatz 2 gilt entsprechend.</w:t>
      </w:r>
    </w:p>
    <w:p>
      <w:r>
        <w:t xml:space="preserve">(4) Wenn Gefahren im Sinne des § 3 Satz 1 nicht zu erwarten sind, kann die oberste Bauaufsichtsbehörde im Einzelfall oder für genau begrenzte Fälle allgemein festlegen, dass eine Bauartgenehmigung nicht erforderlich ist.</w:t>
      </w:r>
    </w:p>
    <w:p>
      <w:r>
        <w:t xml:space="preserve">(5) Bauarten bedürfen einer Bestätigung ihrer Übereinstimmung mit den Technischen Baubestimmungen nach § 86a Absatz 2, den allgemeinen Bauartgenehmigungen, den allgemeinen bauaufsichtlichen Prüfzeugnissen für Bauarten oder den vorhabenbezogenen Bauartgenehmigungen; als Übereinstimmung gilt auch eine Abweichung, die nicht wesentlich ist. § 21 Absatz 2 gilt für die Anwenderin oder den Anwender der Bauart entsprechend.</w:t>
      </w:r>
    </w:p>
    <w:p>
      <w:r>
        <w:t xml:space="preserve">(6) Bei Bauarten, deren Anwendung in außergewöhnlichem Maß von der Sachkunde und Erfahrung der damit betrauten Personen oder von einer Ausstattung mit besonderen Vorrichtungen abhängt, kann in der Bauartgenehmigung oder durch Rechtsverordnung der obersten Bauaufsichtsbehörde vorgeschrieben werden, dass die Anwenderin oder der Anwender über solche Fachkräfte und Vorrichtungen verfügt und den Nachweis hierüber gegenüber einer Prüfstelle nach § 24 Satz 1 Nummer 6 zu erbringen hat. In der Rechtsverordnung können Mindestanforderungen an die Ausbildung, die durch Prüfung nachzuweisende Befähigung und die Ausbildungsstätten einschließlich der Anerkennungsvoraussetzungen gestellt werden.</w:t>
      </w:r>
    </w:p>
    <w:p>
      <w:r>
        <w:t xml:space="preserve">(7) Für Bauarten, die einer außergewöhnlichen Sorgfalt bei Ausführung oder Instandhaltung bedürfen, kann in der Bauartgenehmigung oder durch Rechtsverordnung der obersten Bauaufsichtsbehörde die Überwachung dieser Tätigkeiten durch eine Überwachungsstelle nach § 24 Satz 1 Nummer 5 vorgeschrieben werden.</w:t>
      </w:r>
    </w:p>
    <w:p>
      <w:r>
        <w:t xml:space="preserve">Einzelnorm</w:t>
      </w:r>
    </w:p>
    <w:p>
      <w:r>
        <w:rPr>
          <w:color w:val="555555"/>
          <w:sz w:val="17"/>
        </w:rPr>
        <w:t xml:space="preserve">Zitiervorschlag: § 16a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https://recht.nulegal.eu/gesetze/BbgBO/16a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