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BbgBO (Brandenburg) — Schutz gegen schädliche Einflüsse</w:t>
      </w:r>
    </w:p>
    <w:p>
      <w:r>
        <w:rPr>
          <w:color w:val="555555"/>
          <w:sz w:val="18"/>
        </w:rPr>
        <w:t xml:space="preserve">Brandenburgische Bauordnung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Bauliche Anlagen müssen so angeordnet, beschaffen und gebrauchstauglich sein, dass durch Wasser, Feuchtigkeit, pflanzliche und tierische Schädlinge sowie andere chemische, physikalische oder biologische Einflüsse Gefahren oder unzumutbare Belästigungen nicht entstehen. Baugrundstücke müssen für bauliche Anlagen geeignet sein.</w:t>
      </w:r>
    </w:p>
    <w:p>
      <w:r>
        <w:t xml:space="preserve">Einzelnorm</w:t>
      </w:r>
    </w:p>
    <w:p>
      <w:r>
        <w:rPr>
          <w:color w:val="555555"/>
          <w:sz w:val="17"/>
        </w:rPr>
        <w:t xml:space="preserve">Zitiervorschlag: § 13 BbgBO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https://recht.nulegal.eu/gesetze/BbgBO/13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