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BbgBO (Brandenburg) — Standsicherheit</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bauliche Anlage muss im Ganzen und in ihren einzelnen Teilen für sich allein standsicher sein. Die Standsicherheit anderer baulicher Anlagen und die Tragfähigkeit des Baugrundes der Nachbargrundstücke dürfen nicht gefährdet werden.</w:t>
      </w:r>
    </w:p>
    <w:p>
      <w:r>
        <w:t xml:space="preserve">(2) Die Verwendung gemeinsamer Bauteile für mehrere bauliche Anlagen ist zulässig, wenn öffentlich-rechtlich gesichert ist, dass die gemeinsamen Bauteile bei der Beseitigung einer der baulichen Anlagen bestehen bleiben können.</w:t>
      </w:r>
    </w:p>
    <w:p>
      <w:r>
        <w:t xml:space="preserve">Einzelnorm</w:t>
      </w:r>
    </w:p>
    <w:p>
      <w:r>
        <w:rPr>
          <w:color w:val="555555"/>
          <w:sz w:val="17"/>
        </w:rPr>
        <w:t xml:space="preserve">Zitiervorschlag: § 12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