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BbgBO (Brandenburg) — Anlagen der Außenwerbung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Anlagen der Außenwerbung (Werbeanlagen) sind alle ortsfesten Einrichtungen, die der Ankündigung oder Anpreisung oder als Hinweis auf Gewerbe oder Beruf dienen und vom öffentlichen Verkehrsraum aus sichtbar sind. Hierzu zählen insbesondere Schilder, Beschriftungen, Bemalungen, Lichtwerbungen, Schaukästen sowie für Zettelanschläge und Bogenanschläge oder Lichtwerbung bestimmte Säulen, Tafeln und Flächen.</w:t>
      </w:r>
    </w:p>
    <w:p>
      <w:r>
        <w:t xml:space="preserve">(2) Für Werbeanlagen, die bauliche Anlagen sind, gelten die in diesem Gesetz an bauliche Anlagen gestellten Anforderungen. Werbeanlagen, die keine baulichen Anlagen sind, dürfen weder bauliche Anlagen noch das Straßen-, Orts- und Landschaftsbild verunstalten oder die Sicherheit und Leichtigkeit des Verkehrs gefährden. Die störende Häufung von Werbeanlagen ist unzulässig.</w:t>
      </w:r>
    </w:p>
    <w:p>
      <w:r>
        <w:t xml:space="preserve">Einzelnorm</w:t>
      </w:r>
    </w:p>
    <w:p>
      <w:r>
        <w:rPr>
          <w:color w:val="555555"/>
          <w:sz w:val="17"/>
        </w:rPr>
        <w:t xml:space="preserve">Zitiervorschlag: § 10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