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BbgBO (Brandenburg) — Anwendungsbereich</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bauliche Anlagen und Bauprodukte. Es gilt auch für Grundstücke sowie für andere Anlagen und Einrichtungen, an die in diesem Gesetz oder in Vorschriften aufgrund dieses Gesetzes Anforderungen gestellt werden.</w:t>
      </w:r>
    </w:p>
    <w:p>
      <w:r>
        <w:t xml:space="preserve">(2) Dieses Gesetz gilt nicht für</w:t>
      </w:r>
    </w:p>
    <w:p>
      <w:r>
        <w:t xml:space="preserve">Anlagen des öffentlichen Verkehrs, einschließlich Zubehör, Nebenanlagen und Nebenbetrieben, ausgenommen Gebäude,</w:t>
      </w:r>
    </w:p>
    <w:p>
      <w:r>
        <w:t xml:space="preserve">Anlagen, die der Bergaufsicht unterliegen, ausgenommen Gebäude,</w:t>
      </w:r>
    </w:p>
    <w:p>
      <w:r>
        <w:t xml:space="preserve">Leitungen, die der öffentlichen Versorgung mit Wasser, Gas, Elektrizität, Wärme, der öffentlichen Abwasserentsorgung oder der Telekommunikation dienen, mit Ausnahme von Masten und Unterstützungen,</w:t>
      </w:r>
    </w:p>
    <w:p>
      <w:r>
        <w:t xml:space="preserve">Rohrleitungen, die dem Ferntransport von Stoffen dienen, mit Ausnahme von Masten und Unterstützungen,</w:t>
      </w:r>
    </w:p>
    <w:p>
      <w:r>
        <w:t xml:space="preserve">Kräne, mit Ausnahme von Kranbahnen und Unterstützungen,</w:t>
      </w:r>
    </w:p>
    <w:p>
      <w:r>
        <w:t xml:space="preserve">Messestände in Messe- und Ausstellungsgebäuden,</w:t>
      </w:r>
    </w:p>
    <w:p>
      <w:r>
        <w:t xml:space="preserve">Anschläge und Lichtwerbung an dafür genehmigten Säulen, Tafeln und Flächen,</w:t>
      </w:r>
    </w:p>
    <w:p>
      <w:r>
        <w:t xml:space="preserve">Werbemittel an Zeitungs- und Zeitschriftenverkaufsstellen,</w:t>
      </w:r>
    </w:p>
    <w:p>
      <w:r>
        <w:t xml:space="preserve">Auslagen und Dekorationen in Fenstern und Schaukästen,</w:t>
      </w:r>
    </w:p>
    <w:p>
      <w:r>
        <w:t xml:space="preserve">Wahlwerbung für die Dauer eines Wahlkampfes,</w:t>
      </w:r>
    </w:p>
    <w:p>
      <w:r>
        <w:t xml:space="preserve">Parkanlagen und andere Grünflächen, die öffentliche Einrichtungen sind, sowie Friedhöfe, mit Ausnahme von Gebäuden,</w:t>
      </w:r>
    </w:p>
    <w:p>
      <w:r>
        <w:t xml:space="preserve">Sport- und Charterboote, die zweckentsprechend als Wasserfahrzeuge genutzt werden können und sollen,</w:t>
      </w:r>
    </w:p>
    <w:p>
      <w:r>
        <w:t xml:space="preserve">Regale und Regalanlagen in Gebäuden, soweit sie nicht Teil der Gebäudekonstruktion sind oder keine Erschließungsfunktion haben,</w:t>
      </w:r>
    </w:p>
    <w:p>
      <w:r>
        <w:t xml:space="preserve">Windenergieanlagen und Teile von Windenergieanlagen, für die die Konformität mit den Anforderungen der Richtlinie 2006/42/EG des Europäischen Parlaments und des Rates vom 17. Mai 2006 über Maschinen und zur Änderung der Richtlinie 95/16/EG (ABl. L 157 vom 9.6.2006, S. 24, L 76 vom 16.3.2007, S. 35), die zuletzt durch die Richtlinie (EU) 2024/2749 (ABl. L 2749 vom 8.11.2024) geändert worden ist, durch eine Konformitätserklärung und eine CE-Kennzeichnung nachgewiesen ist,</w:t>
      </w:r>
    </w:p>
    <w:p>
      <w:r>
        <w:t xml:space="preserve">gebäudeunabhängige stationäre Batterie-Energiespeichersysteme, für die die Konformität mit den Anforderungen der Verordnung (EU) 2023/1542 des Europäischen Parlaments und des Rates vom 12. Juli 2023 über Batterien und Altbatterien, zur Änderung der Richtlinie 2008/98/EG und der Verordnung (EU) 2019/1020 und zur Aufhebung der Richtlinie 2006/66/EG (ABl. L 191 vom 28.7.2023, S. 1, L 90243 vom 17.4.2024, L 90256 vom 23.4.2024, L 90493 vom 7.8.2024, L 90109 vom 5.2.2025, L 90794 vom 8.10.2025, L 90132 vom 17.2.2026), zuletzt geändert durch Verordnung (EU) 2025/1561 (ABl. L 1561 vom 30.7.2025) durch eine Konformitätserklärung und eine CE-Kennzeichnung nachgewiesen ist.</w:t>
      </w:r>
    </w:p>
    <w:p>
      <w:r>
        <w:t xml:space="preserve">Abweichend von Satz 1 Nummer 14 und 15 sind auf die dort genannten baulichen Anlagen die §§ 6, 57 bis 64, 67 bis 75, 77, 79, 82 und 84 entsprechend anzuwenden.</w:t>
      </w:r>
    </w:p>
    <w:p>
      <w:r>
        <w:t xml:space="preserve">Einzelnorm</w:t>
      </w:r>
    </w:p>
    <w:p>
      <w:r>
        <w:rPr>
          <w:color w:val="555555"/>
          <w:sz w:val="17"/>
        </w:rPr>
        <w:t xml:space="preserve">Zitiervorschlag: § 1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