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BbgBKG (Brandenburg) — Berufs- und Funktionsbezeichnungen</w:t>
      </w:r>
    </w:p>
    <w:p>
      <w:r>
        <w:rPr>
          <w:color w:val="555555"/>
          <w:sz w:val="18"/>
        </w:rPr>
        <w:t xml:space="preserve">Brandenburgisches Brand- und Katastrophenschutzgesetz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Frauen und Männer führen die aufgrund dieses Gesetzes geltenden Berufs- und Funktionsbezeichnungen in geschlechtsspezifischer Form.</w:t>
      </w:r>
    </w:p>
    <w:p>
      <w:r>
        <w:rPr>
          <w:color w:val="555555"/>
          <w:sz w:val="17"/>
        </w:rPr>
        <w:t xml:space="preserve">Zitiervorschlag: § 50 BbgBKG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https://recht.nulegal.eu/gesetze/BbgBKG/50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