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BbgBKG (Brandenburg) — Entschädigung</w:t>
      </w:r>
    </w:p>
    <w:p>
      <w:r>
        <w:rPr>
          <w:color w:val="555555"/>
          <w:sz w:val="18"/>
        </w:rPr>
        <w:t xml:space="preserve">Brandenburgisches Brand- und Katastrophenschutzgesetz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 nach § 13 oder nach § 15 Abs. 1 Satz 3 oder Abs. 2 in Verbindung mit Abs. 1 Satz 2 oder Satz 3 in Anspruch genommen wird, kann von dem Aufgabenträger, in dessen Gebiet die Einsatzstelle liegt, Ersatz des ihm hierdurch entstandenen Schadens verlangen. Für den Ersatzanspruch gelten die Bestimmungen des Ordnungsbehördengesetzes entsprechend.</w:t>
      </w:r>
    </w:p>
    <w:p>
      <w:r>
        <w:t xml:space="preserve">(2) Absatz 1 gilt entsprechend, wenn jemand, ohne nach den §§ 13, 14 oder 15 in Anspruch genommen worden zu sein, Leistungen erbringt, die zur Gefahrenbekämpfung vom Aufgabenträger als notwendig anerkannt werden.</w:t>
      </w:r>
    </w:p>
    <w:p>
      <w:r>
        <w:rPr>
          <w:color w:val="555555"/>
          <w:sz w:val="17"/>
        </w:rPr>
        <w:t xml:space="preserve">Zitiervorschlag: § 47 BbgBKG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https://recht.nulegal.eu/gesetze/BbgBKG/47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