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BbgBKG (Brandenburg) — Kosten der im Katastrophenschutz mitwirkenden Hilfsorganisationen, Zuwendungen des Landes</w:t>
      </w:r>
    </w:p>
    <w:p>
      <w:r>
        <w:rPr>
          <w:color w:val="555555"/>
          <w:sz w:val="18"/>
        </w:rPr>
        <w:t xml:space="preserve">Brandenburgisches Brand- und Katastrophenschutzgesetz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im Katastrophenschutz mitwirkenden Hilfsorganisationen tragen die Kosten, die ihnen durch eine Mitwirkung nach diesem Gesetz entstehen. Das Land kann auf Antrag nach Maßgabe des Haushaltsplanes Zuschüsse gewähren.</w:t>
      </w:r>
    </w:p>
    <w:p>
      <w:r>
        <w:rPr>
          <w:color w:val="555555"/>
          <w:sz w:val="17"/>
        </w:rPr>
        <w:t xml:space="preserve">Zitiervorschlag: § 46 BbgBKG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https://recht.nulegal.eu/gesetze/BbgBKG/46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