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44 BbgBKG (Brandenburg) — Kostentragung, Zuwendungen des Landes</w:t>
      </w:r>
    </w:p>
    <w:p>
      <w:r>
        <w:rPr>
          <w:color w:val="555555"/>
          <w:sz w:val="18"/>
        </w:rPr>
        <w:t xml:space="preserve">Brandenburgisches Brand- und Katastrophenschutzgesetz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Jede Körperschaft und sonstige Einrichtung trägt die Kosten für die ihr gesetzlich zugewiesenen Aufgaben, soweit sich aus diesem Gesetz nichts Anderes ergibt.</w:t>
      </w:r>
    </w:p>
    <w:p>
      <w:r>
        <w:t xml:space="preserve">(2) Bei einer Hilfeleistung nach § 2 Absatz 3 oder § 3 Absatz 3 hat der Aufgabenträger, dem Hilfe geleistet wurde, auf Antrag die tatsächlich entstandenen Sach- und Personalkosten zu tragen.</w:t>
      </w:r>
    </w:p>
    <w:p>
      <w:r>
        <w:t xml:space="preserve">(3) Über die ihm zugewiesenen Aufgaben hinaus trägt das Land die Kosten für Unterkunft und Verpflegung der Aus- und Fortzubildenden der Ausbildungsstätte nach § 5 Nr. 3 sowie ihre notwendigen Fahrtkosten, soweit es sich um Angehörige öffentlicher Feuerwehren handelt. Die Lohn- und Verdienstausfälle der ehrenamtlichen Feuerwehrangehörigen, die bei einem privaten Arbeitgeber beschäftigt sind und an Lehrgängen der Ausbildungsstätte nach § 5 Nr. 3 teilnehmen, werden bis zum zulässigen Höchstsatz erstattet. Das Land trägt auch die Kosten für die Aus- und Fortbildung von Führungs- und Spezialkräften des kreisübergreifenden Katastrophenschutzes an der Ausbildungsstätte nach § 5 Nr. 3, soweit die Kosten nicht von anderen Stellen getragen werden.</w:t>
      </w:r>
    </w:p>
    <w:p>
      <w:r>
        <w:t xml:space="preserve">(4) Das Land gewährt nach Maßgabe des Haushaltsplanes Zuwendungen</w:t>
      </w:r>
    </w:p>
    <w:p>
      <w:r>
        <w:t xml:space="preserve">den amtsfreien Gemeinden, den Verbandsgemeinden, den Ämtern, den kreisfreien Städten und den Landkreisen,</w:t>
      </w:r>
    </w:p>
    <w:p>
      <w:r>
        <w:t xml:space="preserve">den Trägern des Brandschutzes, denen nach § 36 Einsatzbereiche zugewiesen worden sind, entsprechend Art und Umfang der Einsatzaufgaben, sowie für die Bekämpfung von Waldbränden und</w:t>
      </w:r>
    </w:p>
    <w:p>
      <w:r>
        <w:t xml:space="preserve">den kreisfreien Städten und den Landkreisen als untere Katastrophenschutzbehörden für die Kosten der Katastrophenhilfe nach § 2 Abs. 3 von öffentlichen und privaten Institutionen, zur Durchführung von im besonderen Landesinteresse liegenden Übungen und für Abwehrmaßnahmen ungewöhnlichen Ausmaßes bei Großschadensereignissen und Katastrophen.</w:t>
      </w:r>
    </w:p>
    <w:p>
      <w:r>
        <w:t xml:space="preserve">(5) Das Aufkommen aus der Feuerschutzsteuer ist vorrangig für die Sicherstellung der den öffentlichen Feuerwehren nach diesem Gesetz zugewiesenen Aufgaben zu verwenden.</w:t>
      </w:r>
    </w:p>
    <w:p>
      <w:r>
        <w:rPr>
          <w:color w:val="555555"/>
          <w:sz w:val="17"/>
        </w:rPr>
        <w:t xml:space="preserve">Zitiervorschlag: § 44 BbgBKG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https://recht.nulegal.eu/gesetze/BbgBKG/44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