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BbgBKG (Brandenburg) — Vorbereitende Maßnahmen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unteren Katastrophenschutzbehörden treffen die notwendigen vorbereitenden Maßnahmen, um eine wirksame Katastrophenabwehr zu gewährleisten. Zu diesen Maßnahmen zählen insbesondere:</w:t>
      </w:r>
    </w:p>
    <w:p>
      <w:r>
        <w:t xml:space="preserve">Errichtung einer Katastrophenschutzleitung als Unterstützung der Gesamtführung nach § 7 mit einem Katastrophenschutzstab,</w:t>
      </w:r>
    </w:p>
    <w:p>
      <w:r>
        <w:t xml:space="preserve">Aufstellung und Unterhaltung von Einheiten und Einrichtungen des Katastrophenschutzes, insbesondere von Katastrophenschutzlagern,</w:t>
      </w:r>
    </w:p>
    <w:p>
      <w:r>
        <w:t xml:space="preserve">Durchführung von Aus- und Fortbildung ihrer Angehörigen des Katastrophenschutzes einschließlich des Stabspersonals,</w:t>
      </w:r>
    </w:p>
    <w:p>
      <w:r>
        <w:t xml:space="preserve">Aufstellung und Fortschreibung von Katastrophenschutzplänen und</w:t>
      </w:r>
    </w:p>
    <w:p>
      <w:r>
        <w:t xml:space="preserve">Durchführung von Katastrophenschutzübungen.</w:t>
      </w:r>
    </w:p>
    <w:p>
      <w:r>
        <w:t xml:space="preserve">(2) Absatz 1 gilt sinngemäß für die oberste Katastrophenschutzbehörde.</w:t>
      </w:r>
    </w:p>
    <w:p>
      <w:r>
        <w:rPr>
          <w:color w:val="555555"/>
          <w:sz w:val="17"/>
        </w:rPr>
        <w:t xml:space="preserve">Zitiervorschlag: § 37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