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BbgBKG (Brandenburg) — Rechtsstellung der ehrenamtlichen Feuerwehrangehörigen</w:t>
      </w:r>
    </w:p>
    <w:p>
      <w:r>
        <w:rPr>
          <w:color w:val="555555"/>
          <w:sz w:val="18"/>
        </w:rPr>
        <w:t xml:space="preserve">Brandenburgisches Brand- und Katastrophenschutzgesetz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Angehörigen der Freiwilligen Feuerwehr sind freiwillig und ehrenamtlich tätig. Sie haben an Einsätzen, Übungen, Lehrgängen und sonstigen Ausbildungsveranstaltungen teilzunehmen und den dort ergangenen Weisungen nachzukommen. Ihnen dürfen durch den Dienst in der Feuerwehr keine Nachteile in ihrem Arbeits- oder Dienstverhältnis entstehen. Sie sind für die Zeit der Teilnahme an Einsätzen, Übungen und Ausbildungsveranstaltungen von der Arbeits- oder Dienstleistungsverpflichtung und, soweit es die Einsatzleitung für erforderlich hält, für einen angemessenen Zeitraum davor und danach freizustellen. Für Angehörige der Berufsfeuerwehren und der Werkfeuerwehren ist der Dienst in den Freiwilligen Feuerwehren nur insoweit zulässig, als die Teilnahme am Einsatzdienst in der Berufsfeuerwehr nicht beeinträchtigt wird.</w:t>
      </w:r>
    </w:p>
    <w:p>
      <w:r>
        <w:t xml:space="preserve">(2) Für Freistellungszeiten nach Absatz 1 Satz 4 hat der Arbeitgeber dem Arbeitnehmer das Arbeitsentgelt fortzuzahlen, das er ohne den Arbeitsausfall erhalten hätte. Privaten Arbeitgebern ist das fortgezahlte Arbeitsentgelt auf Antrag durch den Träger des örtlichen Brandschutzes zu erstatten, soweit ihm nicht ein anderweitiger Ersatzanspruch zusteht oder eine Erstattung durch das Land erfolgt. Die Erstattung umfasst auch den Arbeitgeberanteil des Gesamtsozialversicherungsbeitrags sowie die freiwilligen Arbeitgeberleistungen. Arbeitnehmer im Sinne dieser Bestimmung sind Arbeiter, Angestellte und zur Ausbildung Beschäftigte. Ehrenamtlichen Feuerwehrangehörigen, die beruflich selbstständig oder freiberuflich tätig sind, wird der Verdienstausfall in Form pauschalierter Stundenbeträge ersetzt.</w:t>
      </w:r>
    </w:p>
    <w:p>
      <w:r>
        <w:t xml:space="preserve">(3) Absatz 2 Satz 1, 2, 4 und 5 gilt entsprechend für Zeiten der Arbeitsunfähigkeit für die Dauer von bis zu sechs Wochen, wenn die Arbeitsunfähigkeit auf den Dienst in der Feuerwehr zurückzuführen ist.</w:t>
      </w:r>
    </w:p>
    <w:p>
      <w:r>
        <w:t xml:space="preserve">(4) Die ehrenamtlichen Feuerwehrangehörigen haben Anspruch auf Auslagenersatz. Durch Satzung kann auch eine Aufwandsentschädigung festgelegt werden.</w:t>
      </w:r>
    </w:p>
    <w:p>
      <w:r>
        <w:t xml:space="preserve">(5) Gegen Unfälle im Feuerwehrdienst sind ehrenamtliche Feuerwehrangehörige in der Feuerwehr-Unfallkasse gesetzlich versichert. Die für den Ersatz von Sachschäden und die Haftung bei schuldhafter Verletzung von Dienstpflichten geltenden Regelungen des Landesbeamtengesetzes finden entsprechende Anwendung.</w:t>
      </w:r>
    </w:p>
    <w:p>
      <w:r>
        <w:t xml:space="preserve">(6) Die Mitglieder der Freiwilligen Feuerwehr haben über Angelegenheiten, die ihnen bei oder bei Gelegenheit ihrer ehrenamtlichen Tätigkeit bekannt geworden sind, Verschwiegenheit zu wahren, insbesondere keine Auskünfte über Einsätze zu erteilen sowie keine Bildaufnahmen und Bild- und Tonaufzeichnungen weiterzugeben; die Verschwiegenheitspflicht gilt auch nach Beendigung der ehrenamtlichen Tätigkeit. Eine Bildberichterstattung bedarf der vorherigen Erlaubnis des Wehrführers. Satz 1 gilt nicht für Mitteilungen im dienstlichen Verkehr oder über Tatsachen, die offenkundig sind oder ihrer Bedeutung nach keiner Geheimhaltung bedürfen. Für Mitglieder der Freiwilligen Feuerwehr im Ehrenbeamtenverhältnis gilt daneben die Verschwiegenheitspflicht gemäß § 37 des Beamtenstatusgesetzes vom 17. Juni 2008 (BGBl. I S. 1010), das zuletzt durch Artikel 1 des Gesetzes vom 29. November 2018 (BGBl. I S. 2232) geändert worden ist.</w:t>
      </w:r>
    </w:p>
    <w:p>
      <w:r>
        <w:rPr>
          <w:color w:val="555555"/>
          <w:sz w:val="17"/>
        </w:rPr>
        <w:t xml:space="preserve">Zitiervorschlag: § 27 BbgBKG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https://recht.nulegal.eu/gesetze/BbgBKG/27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