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BbgBKG (Brandenburg) — Jugendfeuerwehren, Kinderfeuerwehren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Träger des örtlichen Brandschutzes wirken darauf hin, dass bei den öffentlichen Feuerwehren Jugendfeuerwehren gebildet werden. Als Jugendfeuerwehrwart darf nur tätig werden, wer die erforderliche Eignung und Befähigung hat.</w:t>
      </w:r>
    </w:p>
    <w:p>
      <w:r>
        <w:t xml:space="preserve">(2) Angehörige der Jugendfeuerwehr dürfen an Einsätzen nur außerhalb des Gefahrenbereiches und an dem für sie angesetzten Übungs- und Ausbildungsdienst teilnehmen. Für ihre Rechtsstellung gilt § 27 entsprechend.</w:t>
      </w:r>
    </w:p>
    <w:p>
      <w:r>
        <w:t xml:space="preserve">(3) Die Träger des örtlichen Brandschutzes können Kinderfeuerwehren als Teil der Jugendfeuerwehr einrichten. Dabei soll die untere Altersgrenze sechs Jahre betragen. Über Ausnahmen kann der zuständige Träger entscheiden.</w:t>
      </w:r>
    </w:p>
    <w:p>
      <w:r>
        <w:rPr>
          <w:color w:val="555555"/>
          <w:sz w:val="17"/>
        </w:rPr>
        <w:t xml:space="preserve">Zitiervorschlag: § 25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