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BbgBITV (Brandenburg) — Inkrafttreten, Außerkrafttreten</w:t>
      </w:r>
    </w:p>
    <w:p>
      <w:r>
        <w:rPr>
          <w:color w:val="555555"/>
          <w:sz w:val="18"/>
        </w:rPr>
        <w:t xml:space="preserve">Brandenburgische Barrierefreie Informationstechnik-Verordnung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 Gleichzeitig tritt die Brandenburgische Barrierefreie Informationstechnik-Verordnung vom 24. Mai 2004 ( GVBl. II S. 482) außer Kraft.</w:t>
      </w:r>
    </w:p>
    <w:p>
      <w:r>
        <w:t xml:space="preserve">Einzelnorm</w:t>
      </w:r>
    </w:p>
    <w:p>
      <w:r>
        <w:t xml:space="preserve">Potsdam, den 17. September 2019</w:t>
      </w:r>
    </w:p>
    <w:p>
      <w:r>
        <w:t xml:space="preserve">Die Ministerin für Arbeit, Soziales,</w:t>
      </w:r>
    </w:p>
    <w:p>
      <w:r>
        <w:t xml:space="preserve">Gesundheit, Frauen und Familie</w:t>
      </w:r>
    </w:p>
    <w:p>
      <w:r>
        <w:t xml:space="preserve">Susanna Karawanskij</w:t>
      </w:r>
    </w:p>
    <w:p>
      <w:r>
        <w:rPr>
          <w:color w:val="555555"/>
          <w:sz w:val="17"/>
        </w:rPr>
        <w:t xml:space="preserve">Zitiervorschlag: § 7 BbgBITV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https://recht.nulegal.eu/gesetze/BbgBITV/7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