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BbgBITV (Brandenburg) — Übergangsvorschriften</w:t>
      </w:r>
    </w:p>
    <w:p>
      <w:r>
        <w:rPr>
          <w:color w:val="555555"/>
          <w:sz w:val="18"/>
        </w:rPr>
        <w:t xml:space="preserve">Brandenburgische Barrierefreie Informationstechnik-Verordnung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Vorschriften dieser Verordnung sind anzuwenden</w:t>
      </w:r>
    </w:p>
    <w:p>
      <w:r>
        <w:t xml:space="preserve">auf Websites öffentlicher Stellen im Sinne des Artikels 3 Nummer 1 der Richtlinie (EU) 2016/2102</w:t>
      </w:r>
    </w:p>
    <w:p>
      <w:r>
        <w:t xml:space="preserve">die nicht vor dem 23. September 2018 veröffentlicht wurden, ab dem 23. September 2019,</w:t>
      </w:r>
    </w:p>
    <w:p>
      <w:r>
        <w:t xml:space="preserve">im Übrigen ab dem 23. September 2020,</w:t>
      </w:r>
    </w:p>
    <w:p>
      <w:r>
        <w:t xml:space="preserve">auf mobile Anwendungen öffentlicher Stellen im Sinne des Artikels 3 Nummer 1 der Richtlinie (EU) 2016/2102 ab dem 23. Juni 2021.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BbgBITV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https://recht.nulegal.eu/gesetze/BbgBITV/5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