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BbgBITV (Brandenburg) — Anzuwendende Standards</w:t>
      </w:r>
    </w:p>
    <w:p>
      <w:r>
        <w:rPr>
          <w:color w:val="555555"/>
          <w:sz w:val="18"/>
        </w:rPr>
        <w:t xml:space="preserve">Brandenburgische Barrierefreie Informationstechnik-Verordnung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Angebote der Informationstechnik gelten als barrierefrei, wenn sie wahrnehmbar, bedienbar, verständlich und robust sind. Die Erfüllung der Anforderungen nach Satz 1 wird vermutet, wenn die Angebote der Informationstechnik</w:t>
      </w:r>
    </w:p>
    <w:p>
      <w:r>
        <w:t xml:space="preserve">harmonisierten Normen oder Teilen dieser Normen entsprechen, und</w:t>
      </w:r>
    </w:p>
    <w:p>
      <w:r>
        <w:t xml:space="preserve">die harmonisierten Normen oder Teile dieser Normen im Amtsblatt der Europäischen Union genannt worden sind.</w:t>
      </w:r>
    </w:p>
    <w:p>
      <w:r>
        <w:t xml:space="preserve">(2) Soweit Teile von Angeboten der Informationstechnik nicht von harmonisierten Normen abgedeckt sind, sind sie nach dem Stand der Technik barrierefrei zu gestalten.</w:t>
      </w:r>
    </w:p>
    <w:p>
      <w:r>
        <w:t xml:space="preserve">(3) Die regelmäßig auf der Website der Bundesfachstelle für Barrierefreiheit veröffentlichten Informationen in deutscher Sprache zur Umsetzung der Richtlinie (EU) 2016/2102, wie</w:t>
      </w:r>
    </w:p>
    <w:p>
      <w:r>
        <w:t xml:space="preserve">aktuelle Informationen zu den zu beachtenden Standards, aus denen die Barrierefreiheitsanforderungen detailliert hervorgehen,</w:t>
      </w:r>
    </w:p>
    <w:p>
      <w:r>
        <w:t xml:space="preserve">Konformitätstabellen, die einen Überblick zu den wichtigsten Barrierefreiheitsanforderungen geben,</w:t>
      </w:r>
    </w:p>
    <w:p>
      <w:r>
        <w:t xml:space="preserve">Empfehlungen und weiterführende Erläuterungen,</w:t>
      </w:r>
    </w:p>
    <w:p>
      <w:r>
        <w:t xml:space="preserve">sind zu beachten.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BbgBITV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https://recht.nulegal.eu/gesetze/BbgBITV/2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