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BbgBGG (Brandenburg) — Diskriminierungsverbot, Beweislasterleichterung</w:t>
      </w:r>
    </w:p>
    <w:p>
      <w:r>
        <w:rPr>
          <w:color w:val="555555"/>
          <w:sz w:val="18"/>
        </w:rPr>
        <w:t xml:space="preserve">Brandenburgisches Behindertengleichstellungsgesetz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in § 2 Absatz 1 benannten Träger der öffentlichen Verwaltung dürfen bei der Erfüllung ihrer gesetzlichen oder satzungsmäßigen Aufgaben Menschen mit Behinderungen nicht diskriminieren.</w:t>
      </w:r>
    </w:p>
    <w:p>
      <w:r>
        <w:t xml:space="preserve">(2) Wenn ein Mensch mit Behinderung Sachverhalte oder Tatsachen glaubhaft macht, die eine Diskriminierung aufgrund seiner Behinderung vermuten lassen, ist diese Vermutung im Streitfalle von der Gegenseite zu widerlegen.</w:t>
      </w:r>
    </w:p>
    <w:p>
      <w:r>
        <w:rPr>
          <w:color w:val="555555"/>
          <w:sz w:val="17"/>
        </w:rPr>
        <w:t xml:space="preserve">Zitiervorschlag: § 4 BbgBGG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https://recht.nulegal.eu/gesetze/BbgBGG/4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