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BbgBGG (Brandenburg) — Begriffsbestimmungen</w:t>
      </w:r>
    </w:p>
    <w:p>
      <w:r>
        <w:rPr>
          <w:color w:val="555555"/>
          <w:sz w:val="18"/>
        </w:rPr>
        <w:t xml:space="preserve">Brandenburgisches Behindertengleichstellungsgesetz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Menschen mit Behinderungen im Sinne dieses Gesetzes sind Menschen, die langfristige körperliche, seelische, geistige oder Sinnesbeeinträchtigungen haben, welche sie in Wechselwirkung mit einstellungs- und umweltbedingten Barrieren an der gleichberechtigten Teilhabe an der Gesellschaft hindern können.</w:t>
      </w:r>
    </w:p>
    <w:p>
      <w:r>
        <w:t xml:space="preserve">(2) Eine Diskriminierung liegt vor, wenn Menschen mit und ohne Behinderungen ohne Grund unterschiedlich behandelt werden und dadurch Menschen mit Behinderungen in der gleichberechtigten Teilhabe am Leben in der Gesellschaft unmittelbar beeinträchtigt werden.</w:t>
      </w:r>
    </w:p>
    <w:p>
      <w:r>
        <w:t xml:space="preserve">(3) Barrierefreiheit liegt vor, wenn bauliche und sonstige Anlagen, Verkehrsmittel, technische Gebrauchsgegenstände, Systeme der Informationsverarbeitung, akustische und visuelle Informationsquellen und Kommunikationseinrichtungen sowie andere gestaltete Lebensbereiche für Menschen mit Behinderungen in der allgemein üblichen Weise ohne besondere Erschwernis und grundsätzlich ohne fremde Hilfe zugänglich und nutzbar sind. Eine besondere Erschwernis liegt auch dann vor, wenn Menschen mit Behinderungen die Mitnahme oder der Einsatz benötigter Hilfsmittel verweigert oder erschwert wird.</w:t>
      </w:r>
    </w:p>
    <w:p>
      <w:r>
        <w:rPr>
          <w:color w:val="555555"/>
          <w:sz w:val="17"/>
        </w:rPr>
        <w:t xml:space="preserve">Zitiervorschlag: § 3 BbgBGG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https://recht.nulegal.eu/gesetze/BbgBGG/3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