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BbgBGG (Brandenburg) — Überprüfung des Gesetzes</w:t>
      </w:r>
    </w:p>
    <w:p>
      <w:r>
        <w:rPr>
          <w:color w:val="555555"/>
          <w:sz w:val="18"/>
        </w:rPr>
        <w:t xml:space="preserve">Brandenburgisches Behindertengleichstellungsgesetz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Drei Jahre nach Inkrafttreten ist dieses Gesetz hinsichtlich seiner Wirkungen zu überprüfen. Der Landesregierung ist Bericht über die Prüfung durch das für Soziales zuständige Mitglied der Landesregierung zu erstatten.</w:t>
      </w:r>
    </w:p>
    <w:p>
      <w:r>
        <w:rPr>
          <w:color w:val="555555"/>
          <w:sz w:val="17"/>
        </w:rPr>
        <w:t xml:space="preserve">Zitiervorschlag: § 17 BbgBGG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https://recht.nulegal.eu/gesetze/BbgBGG/17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