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BbgBGG (Brandenburg) — Zielvereinbarungen</w:t>
      </w:r>
    </w:p>
    <w:p>
      <w:r>
        <w:rPr>
          <w:color w:val="555555"/>
          <w:sz w:val="18"/>
        </w:rPr>
        <w:t xml:space="preserve">Brandenburgisches Behindertengleichstellungsgesetz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Herstellung von Barrierefreiheit sollen Zielvereinbarungen zwischen den Landesverbänden von Menschen mit Behinderungen und den Unternehmen und Unternehmensverbänden für ihren jeweiligen sachlichen und räumlichen Organisations- oder Tätigkeitsbereich geschlossen werden, soweit keine Zielvereinbarung nach § 5 Absatz 1 des Behindertengleichstellungsgesetzes besteht.</w:t>
      </w:r>
    </w:p>
    <w:p>
      <w:r>
        <w:t xml:space="preserve">(2) Zur Herstellung von Barrierefreiheit können Zielvereinbarungen zwischen den Landesverbänden von Menschen mit Behinderungen und den in § 2 Absatz 1 genannten Trägern der öffentlichen Verwaltung geschlossen werden.</w:t>
      </w:r>
    </w:p>
    <w:p>
      <w:r>
        <w:t xml:space="preserve">(3) Für das Verfahren zu Zielvereinbarungen ist § 5 Absatz 1, 2 Satz 1 und Absatz 4 des Behindertengleichstellungsgesetzes entsprechend anzuwenden. Der die Zielvereinbarung abschließende Verband von Menschen mit Behinderungen teilt dem für Soziales zuständigen Mitglied der Landesregierung den Abschluss einer Zielvereinbarung mit.</w:t>
      </w:r>
    </w:p>
    <w:p>
      <w:r>
        <w:rPr>
          <w:color w:val="555555"/>
          <w:sz w:val="17"/>
        </w:rPr>
        <w:t xml:space="preserve">Zitiervorschlag: § 10 BbgBGG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https://recht.nulegal.eu/gesetze/BbgBGG/10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