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BbgBGG (Brandenburg) — Gesetzesziel</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 dieses Gesetzes ist es, in Umsetzung des Übereinkommens der Vereinten Nationen vom 13. Dezember 2006 über die Rechte von Menschen mit Behinderungen ( BGBl. 2008 II S. 1420) Diskriminierungen von Menschen mit Behinderungen im Land Brandenburg zu verhindern und zu beseitigen, gleichwertige Lebensbedingungen und Chancengleichheit sowie die gleichberechtigte Teilhabe am Leben in der Gesellschaft zu gewährleisten und eine selbstbestimmte Lebensführung zu ermöglichen. Dabei wird spezifischen Bedürfnissen von Menschen mit Behinderungen Rechnung getragen.</w:t>
      </w:r>
    </w:p>
    <w:p>
      <w:r>
        <w:t xml:space="preserve">(2) Die Schaffung einer inklusiven Gesellschaft ist eine gesamtgesellschaftliche Aufgabe.</w:t>
      </w:r>
    </w:p>
    <w:p>
      <w:r>
        <w:rPr>
          <w:color w:val="555555"/>
          <w:sz w:val="17"/>
        </w:rPr>
        <w:t xml:space="preserve">Zitiervorschlag: § 1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