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BbgBAAV (Brandenburg) — Anwendungsbereich, zuständige Behörde</w:t>
      </w:r>
    </w:p>
    <w:p>
      <w:r>
        <w:rPr>
          <w:color w:val="555555"/>
          <w:sz w:val="18"/>
        </w:rPr>
        <w:t xml:space="preserve">Brandenburgische Bezirksschornsteinfeger-Ausschreibungs- und Auswahlverordnung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Diese Verordnung regelt die Verfahren zur Ausschreibung, zur Auswahl für die Tätigkeit als bevollmächtigte Bezirksschornsteinfegerin oder als bevollmächtigter Bezirksschornsteinfeger und zur Bestellung.</w:t>
      </w:r>
    </w:p>
    <w:p>
      <w:r>
        <w:t xml:space="preserve">(2) Die Verfahren müssen sachgerecht, objektiv, transparent und nicht diskriminierend durchgeführt werden.</w:t>
      </w:r>
    </w:p>
    <w:p>
      <w:r>
        <w:t xml:space="preserve">(3) Zuständige Behörde für die Verfahren ist die jeweilige Kreisordnungsbehörde nach § 1 Absatz 1 der Schornsteinfegerzuständigkeitsverordnung.</w:t>
      </w:r>
    </w:p>
    <w:p>
      <w:r>
        <w:rPr>
          <w:color w:val="555555"/>
          <w:sz w:val="17"/>
        </w:rPr>
        <w:t xml:space="preserve">Zitiervorschlag: § 1 BbgBAAV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https://recht.nulegal.eu/gesetze/BbgBAAV/1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