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BbgAusglZV (Brandenburg) — Außerkrafttreten</w:t>
      </w:r>
    </w:p>
    <w:p>
      <w:r>
        <w:rPr>
          <w:color w:val="555555"/>
          <w:sz w:val="18"/>
        </w:rPr>
        <w:t xml:space="preserve">Brandenburgische Ausgleichszahlungsverordnung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Ablauf des 31. Dezember 2030 außer Kraft.</w:t>
      </w:r>
    </w:p>
    <w:p>
      <w:r>
        <w:rPr>
          <w:color w:val="555555"/>
          <w:sz w:val="17"/>
        </w:rPr>
        <w:t xml:space="preserve">Zitiervorschlag: § 4 BbgAusglZV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https://recht.nulegal.eu/gesetze/BbgAusglZV/4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