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BbgAusglZV (Brandenburg) — Höhe des Anspruchs</w:t>
      </w:r>
    </w:p>
    <w:p>
      <w:r>
        <w:rPr>
          <w:color w:val="555555"/>
          <w:sz w:val="18"/>
        </w:rPr>
        <w:t xml:space="preserve">Brandenburgische Ausgleichszahlungsverordnung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Für die Höhe der Ausgleichszahlung von Zusatzstunden ist der auf eine Unterrichtsstunde entfallende Anteil der Besoldung der Lehrkraft zum Zeitpunkt der Ableistung der Zusatzstunde maßgebend.</w:t>
      </w:r>
    </w:p>
    <w:p>
      <w:r>
        <w:t xml:space="preserve">(2) Zur Ermittlung des auf eine Unterrichtsstunde entfallenden Anteils der Besoldung ist der jeweilige Monatsbetrag durch das 4,348-Fache der jeweiligen Pflichtstundenzahl nach der Anlage zu § 16 Absatz 2 Satz 1 der Arbeitszeitverordnung zu teilen. § 3 Absatz 6 und 7 des Brandenburgischen Besoldungsgesetzes gilt entsprechend.</w:t>
      </w:r>
    </w:p>
    <w:p>
      <w:r>
        <w:rPr>
          <w:color w:val="555555"/>
          <w:sz w:val="17"/>
        </w:rPr>
        <w:t xml:space="preserve">Zitiervorschlag: § 3 BbgAusglZV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https://recht.nulegal.eu/gesetze/BbgAusglZV/3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