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BbgAusglZV (Brandenburg) — Voraussetzungen und Umfang des Anspruchs</w:t>
      </w:r>
    </w:p>
    <w:p>
      <w:r>
        <w:rPr>
          <w:color w:val="555555"/>
          <w:sz w:val="18"/>
        </w:rPr>
        <w:t xml:space="preserve">Brandenburgische Ausgleichszahlungsverordnung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Leistet eine Lehrkraft an einer öffentlichen Schule Zusatzstunden gemäß § 16 Absatz 5 der Arbeitszeitverordnung, erwirbt sie einen Anspruch auf monatliche Ausgleichszahlung.</w:t>
      </w:r>
    </w:p>
    <w:p>
      <w:r>
        <w:rPr>
          <w:color w:val="555555"/>
          <w:sz w:val="17"/>
        </w:rPr>
        <w:t xml:space="preserve">Zitiervorschlag: § 2 BbgAusglZV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https://recht.nulegal.eu/gesetze/BbgAusglZV/2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