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BbgAusfVerkG (Brandenburg) — Berichtigungen</w:t>
      </w:r>
    </w:p>
    <w:p>
      <w:r>
        <w:rPr>
          <w:color w:val="555555"/>
          <w:sz w:val="18"/>
        </w:rPr>
        <w:t xml:space="preserve">Brandenburgisches Ausfertigungs- und Verkündungsgesetz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Enthält die im Gesetz- und Verordnungsblatt für das Land Brandenburg verkündete Fassung eines Gesetzes Druckfehler oder andere offenbare Unrichtigkeiten, so kann der Landtagspräsident eine Berichtigung im Gesetz- und Verordnungsblatt für das Land Brandenburg veröffentlichen.</w:t>
      </w:r>
    </w:p>
    <w:p>
      <w:r>
        <w:t xml:space="preserve">(2) Absatz 1 gilt entsprechend für die Berichtigung von Rechtsverordnungen durch die erlassende Stelle.</w:t>
      </w:r>
    </w:p>
    <w:p>
      <w:r>
        <w:rPr>
          <w:color w:val="555555"/>
          <w:sz w:val="17"/>
        </w:rPr>
        <w:t xml:space="preserve">Zitiervorschlag: § 7 BbgAusfVerkG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https://recht.nulegal.eu/gesetze/BbgAusfVerkG/7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BbgAusfVerkG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