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BbgAusfVerkG (Brandenburg) — Gesetz- und Verordnungsblatt für das Land Brandenburg</w:t>
      </w:r>
    </w:p>
    <w:p>
      <w:r>
        <w:rPr>
          <w:color w:val="555555"/>
          <w:sz w:val="18"/>
        </w:rPr>
        <w:t xml:space="preserve">Brandenburgisches Ausfertigungs- und Verkündungsgesetz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Gesetz- und Verordnungsblatt für das Land Brandenburg ist in elektronischer Form zum Abruf über das Internet unter der Adresse „www.landesrecht.brandenburg.de“ bereitzustellen.</w:t>
      </w:r>
    </w:p>
    <w:p>
      <w:r>
        <w:t xml:space="preserve">(2) Jede Ausgabe des Gesetz- und Verordnungsblattes für das Land Brandenburg ist von der herausgebenden Stelle mit dem Datum der Bereitstellung zum Abruf und mit einer elektronischen Signatur zu versehen.</w:t>
      </w:r>
    </w:p>
    <w:p>
      <w:r>
        <w:rPr>
          <w:color w:val="555555"/>
          <w:sz w:val="17"/>
        </w:rPr>
        <w:t xml:space="preserve">Zitiervorschlag: § 2 BbgAusfVerkG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https://recht.nulegal.eu/gesetze/BbgAusfVerkG/2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