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BbgArchivG (Brandenburg) — Benutzung durch Dritte</w:t>
      </w:r>
    </w:p>
    <w:p>
      <w:r>
        <w:rPr>
          <w:color w:val="555555"/>
          <w:sz w:val="18"/>
        </w:rPr>
        <w:t xml:space="preserve">Brandenburgisches Archivgesetz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Jede Person hat das Recht, öffentliches Archivgut nach Maßgabe der Absätze 2 bis 3 sowie der §§ 10 und 11 zu benutzen, sofern durch dieses Gesetz oder durch Rechtsvorschrift nichts anderes bestimmt ist. Besondere Vereinbarungen mit Eigentümern von privatem Archivgut und testamentarische Bestimmungen bleiben unberührt.</w:t>
      </w:r>
    </w:p>
    <w:p>
      <w:r>
        <w:t xml:space="preserve">(2) (aufgehoben)</w:t>
      </w:r>
    </w:p>
    <w:p>
      <w:r>
        <w:t xml:space="preserve">(3) Der Benutzer ist verpflichtet, von einem im Druck, maschinenschriftlich oder in anderer Weise vervielfältigten Werk, das er unter Verwendung von Archivgut eines öffentlichen Archivs verfaßt oder erstellt hat, nach Erscheinen des Werks unaufgefordert ein Belegexemplar unentgeltlich abzuliefern. Ist dem Benutzer die unentgeltliche Ablieferung eines Belegexemplars, insbesondere wegen der niedrigen Auflage oder der hohen Herstellungskosten, nicht zumutbar, kann er dem jeweiligen öffentlichen Archiv entweder ein Exemplar des Werks zur Herstellung einer Vervielfältigung für einen angemessenen Zeitraum überlassen oder eine Entschädigung bis zur Höhe des halben Ladenpreises verlangen. Wenn ein Ladenpreis nicht besteht, kann der Benutzer eine Entschädigung bis zur Höhe der halben Herstellungskosten des Belegexemplars verlangen.</w:t>
      </w:r>
    </w:p>
    <w:p>
      <w:r>
        <w:rPr>
          <w:color w:val="555555"/>
          <w:sz w:val="17"/>
        </w:rPr>
        <w:t xml:space="preserve">Zitiervorschlag: § 9 BbgArchivG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https://recht.nulegal.eu/gesetze/BbgArchivG/9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