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BbgArchivG (Brandenburg) — Benutzung durch die abgebende Stelle</w:t>
      </w:r>
    </w:p>
    <w:p>
      <w:r>
        <w:rPr>
          <w:color w:val="555555"/>
          <w:sz w:val="18"/>
        </w:rPr>
        <w:t xml:space="preserve">Brandenburgisches Archivgesetz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abgebende Stelle hat das Recht, Archivgut, das aus ihren Unterlagen ausgewählt worden ist, jederzeit zu benutzen, wenn sie es zur Erfüllung ihrer Aufgaben benötigt.</w:t>
      </w:r>
    </w:p>
    <w:p>
      <w:r>
        <w:t xml:space="preserve">(2) Das gilt nicht für personenbezogene Daten, die aufgrund einer Rechtsvorschrift hätten gesperrt oder gelöscht werden müssen. In diesen Fällen besteht das Recht auf Benutzung nur nach Maßgabe des § 10, jedoch nicht zu dem Zweck, zu welchem die personenbezogenen Daten gespeichert worden sind.</w:t>
      </w:r>
    </w:p>
    <w:p>
      <w:r>
        <w:rPr>
          <w:color w:val="555555"/>
          <w:sz w:val="17"/>
        </w:rPr>
        <w:t xml:space="preserve">Zitiervorschlag: § 7 BbgArchivG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https://recht.nulegal.eu/gesetze/BbgArchivG/7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