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BbgArchivG (Brandenburg) — Verwahrung und Sicherung</w:t>
      </w:r>
    </w:p>
    <w:p>
      <w:r>
        <w:rPr>
          <w:color w:val="555555"/>
          <w:sz w:val="18"/>
        </w:rPr>
        <w:t xml:space="preserve">Brandenburgisches Archivgesetz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Öffentliches Archivgut ist im zuständigen öffentlichen Archiv aufzubewahren. In Ausnahmefällen kann Archivgut des Landes aufgrund einer Vereinbarung in einem anderen als dem zuständigen öffentlichen Archiv aufbewahrt oder einem anderen als dem zuständigen öffentlichen Archiv übergeben werden, wenn dafür ein besonderer fachlicher Grund besteht, die archivfachlichen Voraussetzungen im Sinne des § 2 Abs. 8 gegeben sind und sichergestellt ist, daß schutzwürdige Belange Betroffener nicht und die Benutzung durch Betroffene und Dritte nicht erheblich beeinträchtigt werden.</w:t>
      </w:r>
    </w:p>
    <w:p>
      <w:r>
        <w:t xml:space="preserve">(2) Öffentliches Archivgut ist unveräußerlich. Unterlagen, bei denen keine Archivwürdigkeit besteht, sind vom zuständigen öffentlichen Archiv zu vernichten.</w:t>
      </w:r>
    </w:p>
    <w:p>
      <w:r>
        <w:t xml:space="preserve">(3) Die öffentlichen Archive haben die notwendigen organisatorischen, technischen und personellen Maßnahmen zu treffen, um die dauernde Aufbewahrung, Erhaltung und Benutzbarkeit des Archivgutes zu gewährleisten sowie seinen Schutz vor unbefugter Benutzung, vor Beschädigung oder Vernichtung sicherzustellen. Insbesondere sind geeignete Maßnahmen zu treffen, um vom Zeitpunkt der Übernahme an solche Unterlagen zu sichern, die personenbezogene Daten enthalten oder Rechtsvorschriften über Geheimhaltung unterliegen. Archivgut und Findmittel können unter Wahrung schutzwürdiger privater und öffentlicher Belange auch durch die digitale Bereitstellung und Präsentation im Internet zugänglich gemacht werden.</w:t>
      </w:r>
    </w:p>
    <w:p>
      <w:r>
        <w:t xml:space="preserve">(4) Für die Erfüllung der Aufgaben der öffentlichen Archive darf das Archivgut mittels maschinenlesbarer Datenträger erfaßt und gespeichert werden. Die Auswertung der gespeicherten Informationen ist nur zur Erfüllung der in diesem Gesetz genannten Zwecke zulässig.</w:t>
      </w:r>
    </w:p>
    <w:p>
      <w:r>
        <w:t xml:space="preserve">(5) Die Verknüpfung personenbezogener Daten durch das zuständige öffentliche Archiv ist innerhalb der in § 10 genannten Schutzfristen nur zulässig, wenn die schutzwürdigen Belange Betroffener oder Dritter angemessen berücksichtigt werden.</w:t>
      </w:r>
    </w:p>
    <w:p>
      <w:r>
        <w:rPr>
          <w:color w:val="555555"/>
          <w:sz w:val="17"/>
        </w:rPr>
        <w:t xml:space="preserve">Zitiervorschlag: § 6 BbgArchivG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https://recht.nulegal.eu/gesetze/BbgArchivG/6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